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A5" w:rsidRDefault="003321A5" w:rsidP="002C456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42D3A78F">
            <wp:extent cx="3810635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CB9" w:rsidRPr="00DD4492" w:rsidRDefault="00DD4492" w:rsidP="00E34B9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</w:t>
      </w:r>
      <w:r w:rsidRPr="00DD4492">
        <w:rPr>
          <w:rFonts w:ascii="Cambria" w:hAnsi="Cambria"/>
          <w:b/>
          <w:sz w:val="24"/>
          <w:szCs w:val="24"/>
        </w:rPr>
        <w:t xml:space="preserve"> </w:t>
      </w:r>
      <w:r w:rsidR="008939E6" w:rsidRPr="00DD4492">
        <w:rPr>
          <w:rFonts w:ascii="Cambria" w:hAnsi="Cambria"/>
          <w:b/>
          <w:sz w:val="24"/>
          <w:szCs w:val="24"/>
        </w:rPr>
        <w:t>Resolution</w:t>
      </w:r>
      <w:r w:rsidR="002C4561">
        <w:rPr>
          <w:rFonts w:ascii="Cambria" w:hAnsi="Cambria"/>
          <w:b/>
          <w:sz w:val="24"/>
          <w:szCs w:val="24"/>
        </w:rPr>
        <w:t xml:space="preserve"> </w:t>
      </w:r>
      <w:r w:rsidR="00C04CB9" w:rsidRPr="00DD4492">
        <w:rPr>
          <w:rFonts w:ascii="Cambria" w:hAnsi="Cambria"/>
          <w:b/>
          <w:sz w:val="24"/>
          <w:szCs w:val="24"/>
        </w:rPr>
        <w:t>Proclaiming NAST Support for</w:t>
      </w:r>
    </w:p>
    <w:p w:rsidR="00C04CB9" w:rsidRPr="00DD4492" w:rsidRDefault="00C04CB9" w:rsidP="00E34B98">
      <w:pPr>
        <w:jc w:val="center"/>
        <w:rPr>
          <w:rFonts w:ascii="Cambria" w:hAnsi="Cambria"/>
          <w:b/>
          <w:sz w:val="24"/>
          <w:szCs w:val="24"/>
        </w:rPr>
      </w:pPr>
      <w:r w:rsidRPr="00DD4492">
        <w:rPr>
          <w:rFonts w:ascii="Cambria" w:hAnsi="Cambria"/>
          <w:b/>
          <w:sz w:val="24"/>
          <w:szCs w:val="24"/>
        </w:rPr>
        <w:t>National Personal Finance Challenge</w:t>
      </w:r>
      <w:r w:rsidR="008939E6" w:rsidRPr="00DD4492">
        <w:rPr>
          <w:rFonts w:ascii="Cambria" w:hAnsi="Cambria"/>
          <w:b/>
          <w:sz w:val="24"/>
          <w:szCs w:val="24"/>
        </w:rPr>
        <w:t xml:space="preserve"> Competition</w:t>
      </w:r>
    </w:p>
    <w:p w:rsidR="00C04CB9" w:rsidRPr="006216AF" w:rsidRDefault="00C04CB9">
      <w:pPr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649"/>
      </w:tblGrid>
      <w:tr w:rsidR="00C04CB9" w:rsidRPr="006216AF" w:rsidTr="002C4561">
        <w:tc>
          <w:tcPr>
            <w:tcW w:w="1440" w:type="dxa"/>
          </w:tcPr>
          <w:p w:rsidR="00C04CB9" w:rsidRPr="006216AF" w:rsidRDefault="00C04CB9">
            <w:pPr>
              <w:rPr>
                <w:rFonts w:ascii="Cambria" w:hAnsi="Cambria"/>
                <w:b/>
              </w:rPr>
            </w:pPr>
            <w:r w:rsidRPr="006216AF">
              <w:rPr>
                <w:rFonts w:ascii="Cambria" w:hAnsi="Cambria"/>
                <w:b/>
              </w:rPr>
              <w:t>Whereas,</w:t>
            </w:r>
          </w:p>
        </w:tc>
        <w:tc>
          <w:tcPr>
            <w:tcW w:w="8649" w:type="dxa"/>
          </w:tcPr>
          <w:p w:rsidR="00C04CB9" w:rsidRPr="006216AF" w:rsidRDefault="008939E6" w:rsidP="00C04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C04CB9" w:rsidRPr="006216AF">
              <w:rPr>
                <w:rFonts w:ascii="Cambria" w:hAnsi="Cambria"/>
              </w:rPr>
              <w:t xml:space="preserve">he National Association of State Treasurers, NAST, is committed to helping its members develop and implement financial education programs for a broad range of their constituents including elementary, high school, and college students, as well as </w:t>
            </w:r>
            <w:r w:rsidR="006216AF">
              <w:rPr>
                <w:rFonts w:ascii="Cambria" w:hAnsi="Cambria"/>
              </w:rPr>
              <w:t xml:space="preserve">recent graduates, young </w:t>
            </w:r>
            <w:r w:rsidR="00C04CB9" w:rsidRPr="006216AF">
              <w:rPr>
                <w:rFonts w:ascii="Cambria" w:hAnsi="Cambria"/>
              </w:rPr>
              <w:t xml:space="preserve">families, </w:t>
            </w:r>
            <w:r w:rsidR="006216AF">
              <w:rPr>
                <w:rFonts w:ascii="Cambria" w:hAnsi="Cambria"/>
              </w:rPr>
              <w:t xml:space="preserve">military </w:t>
            </w:r>
            <w:r w:rsidR="00C04CB9" w:rsidRPr="006216AF">
              <w:rPr>
                <w:rFonts w:ascii="Cambria" w:hAnsi="Cambria"/>
              </w:rPr>
              <w:t xml:space="preserve">veterans, </w:t>
            </w:r>
            <w:r w:rsidR="006216AF">
              <w:rPr>
                <w:rFonts w:ascii="Cambria" w:hAnsi="Cambria"/>
              </w:rPr>
              <w:t xml:space="preserve">workers </w:t>
            </w:r>
            <w:r w:rsidR="00C04CB9" w:rsidRPr="006216AF">
              <w:rPr>
                <w:rFonts w:ascii="Cambria" w:hAnsi="Cambria"/>
              </w:rPr>
              <w:t>nearing retirement and retirees; and</w:t>
            </w:r>
            <w:r w:rsidR="006216AF">
              <w:rPr>
                <w:rFonts w:ascii="Cambria" w:hAnsi="Cambria"/>
              </w:rPr>
              <w:t>,</w:t>
            </w:r>
            <w:r w:rsidR="00C04CB9" w:rsidRPr="006216AF">
              <w:rPr>
                <w:rFonts w:ascii="Cambria" w:hAnsi="Cambria"/>
              </w:rPr>
              <w:t xml:space="preserve"> </w:t>
            </w:r>
          </w:p>
          <w:p w:rsidR="00C04CB9" w:rsidRPr="006216AF" w:rsidRDefault="00C04CB9" w:rsidP="00C04CB9">
            <w:pPr>
              <w:rPr>
                <w:rFonts w:ascii="Cambria" w:hAnsi="Cambria"/>
              </w:rPr>
            </w:pPr>
          </w:p>
        </w:tc>
      </w:tr>
      <w:tr w:rsidR="00C04CB9" w:rsidRPr="006216AF" w:rsidTr="002C4561">
        <w:tc>
          <w:tcPr>
            <w:tcW w:w="1440" w:type="dxa"/>
          </w:tcPr>
          <w:p w:rsidR="00C04CB9" w:rsidRPr="006216AF" w:rsidRDefault="00C04CB9">
            <w:pPr>
              <w:rPr>
                <w:rFonts w:ascii="Cambria" w:hAnsi="Cambria"/>
                <w:b/>
              </w:rPr>
            </w:pPr>
            <w:r w:rsidRPr="006216AF">
              <w:rPr>
                <w:rFonts w:ascii="Cambria" w:hAnsi="Cambria"/>
                <w:b/>
              </w:rPr>
              <w:t>Whereas,</w:t>
            </w:r>
          </w:p>
        </w:tc>
        <w:tc>
          <w:tcPr>
            <w:tcW w:w="8649" w:type="dxa"/>
          </w:tcPr>
          <w:p w:rsidR="00C04CB9" w:rsidRPr="006216AF" w:rsidRDefault="00C04CB9" w:rsidP="00C04CB9">
            <w:pPr>
              <w:rPr>
                <w:rFonts w:ascii="Cambria" w:hAnsi="Cambria"/>
              </w:rPr>
            </w:pPr>
            <w:r w:rsidRPr="006216AF">
              <w:rPr>
                <w:rFonts w:ascii="Cambria" w:hAnsi="Cambria"/>
              </w:rPr>
              <w:t>The future of our national economy, our state economies, and the economic well-being of constituents in member states depend</w:t>
            </w:r>
            <w:r w:rsidR="000E7C52" w:rsidRPr="006216AF">
              <w:rPr>
                <w:rFonts w:ascii="Cambria" w:hAnsi="Cambria"/>
              </w:rPr>
              <w:t>s</w:t>
            </w:r>
            <w:r w:rsidRPr="006216AF">
              <w:rPr>
                <w:rFonts w:ascii="Cambria" w:hAnsi="Cambria"/>
              </w:rPr>
              <w:t xml:space="preserve"> on a well-informed citizenry that understands basic financial </w:t>
            </w:r>
            <w:r w:rsidR="006216AF">
              <w:rPr>
                <w:rFonts w:ascii="Cambria" w:hAnsi="Cambria"/>
              </w:rPr>
              <w:t xml:space="preserve">and economic </w:t>
            </w:r>
            <w:r w:rsidRPr="006216AF">
              <w:rPr>
                <w:rFonts w:ascii="Cambria" w:hAnsi="Cambria"/>
              </w:rPr>
              <w:t xml:space="preserve">concepts and can navigate in an increasingly complex </w:t>
            </w:r>
            <w:r w:rsidR="00FA2903" w:rsidRPr="006216AF">
              <w:rPr>
                <w:rFonts w:ascii="Cambria" w:hAnsi="Cambria"/>
              </w:rPr>
              <w:t xml:space="preserve">and diverse </w:t>
            </w:r>
            <w:r w:rsidRPr="006216AF">
              <w:rPr>
                <w:rFonts w:ascii="Cambria" w:hAnsi="Cambria"/>
              </w:rPr>
              <w:t>financial environment; and</w:t>
            </w:r>
            <w:r w:rsidR="006216AF">
              <w:rPr>
                <w:rFonts w:ascii="Cambria" w:hAnsi="Cambria"/>
              </w:rPr>
              <w:t>,</w:t>
            </w:r>
          </w:p>
          <w:p w:rsidR="00C04CB9" w:rsidRPr="006216AF" w:rsidRDefault="00C04CB9" w:rsidP="00C04CB9">
            <w:pPr>
              <w:rPr>
                <w:rFonts w:ascii="Cambria" w:hAnsi="Cambria"/>
              </w:rPr>
            </w:pPr>
          </w:p>
        </w:tc>
      </w:tr>
      <w:tr w:rsidR="00C04CB9" w:rsidRPr="006216AF" w:rsidTr="002C4561">
        <w:tc>
          <w:tcPr>
            <w:tcW w:w="1440" w:type="dxa"/>
          </w:tcPr>
          <w:p w:rsidR="00C04CB9" w:rsidRPr="006216AF" w:rsidRDefault="00C04CB9">
            <w:pPr>
              <w:rPr>
                <w:rFonts w:ascii="Cambria" w:hAnsi="Cambria"/>
                <w:b/>
              </w:rPr>
            </w:pPr>
            <w:r w:rsidRPr="006216AF">
              <w:rPr>
                <w:rFonts w:ascii="Cambria" w:hAnsi="Cambria"/>
                <w:b/>
              </w:rPr>
              <w:t>Whereas,</w:t>
            </w:r>
          </w:p>
        </w:tc>
        <w:tc>
          <w:tcPr>
            <w:tcW w:w="8649" w:type="dxa"/>
          </w:tcPr>
          <w:p w:rsidR="00C04CB9" w:rsidRPr="006216AF" w:rsidRDefault="00C04CB9" w:rsidP="005C1342">
            <w:pPr>
              <w:rPr>
                <w:rFonts w:ascii="Cambria" w:hAnsi="Cambria"/>
              </w:rPr>
            </w:pPr>
            <w:r w:rsidRPr="006216AF">
              <w:rPr>
                <w:rFonts w:ascii="Cambria" w:hAnsi="Cambria"/>
              </w:rPr>
              <w:t xml:space="preserve">The </w:t>
            </w:r>
            <w:r w:rsidR="000E7C52" w:rsidRPr="006216AF">
              <w:rPr>
                <w:rFonts w:ascii="Cambria" w:hAnsi="Cambria"/>
              </w:rPr>
              <w:t>National Association of State Treasurers</w:t>
            </w:r>
            <w:r w:rsidR="00FA2903" w:rsidRPr="006216AF">
              <w:rPr>
                <w:rFonts w:ascii="Cambria" w:hAnsi="Cambria"/>
              </w:rPr>
              <w:t>, in recognizing</w:t>
            </w:r>
            <w:r w:rsidR="000E7C52" w:rsidRPr="006216AF">
              <w:rPr>
                <w:rFonts w:ascii="Cambria" w:hAnsi="Cambria"/>
              </w:rPr>
              <w:t xml:space="preserve"> this need for broad-based financial education</w:t>
            </w:r>
            <w:r w:rsidR="00FA2903" w:rsidRPr="006216AF">
              <w:rPr>
                <w:rFonts w:ascii="Cambria" w:hAnsi="Cambria"/>
              </w:rPr>
              <w:t>, has</w:t>
            </w:r>
            <w:r w:rsidR="000E7C52" w:rsidRPr="006216AF">
              <w:rPr>
                <w:rFonts w:ascii="Cambria" w:hAnsi="Cambria"/>
              </w:rPr>
              <w:t xml:space="preserve"> </w:t>
            </w:r>
            <w:r w:rsidR="005C1342" w:rsidRPr="006216AF">
              <w:rPr>
                <w:rFonts w:ascii="Cambria" w:hAnsi="Cambria"/>
              </w:rPr>
              <w:t xml:space="preserve">established a Financial Education </w:t>
            </w:r>
            <w:r w:rsidR="00B053DF">
              <w:rPr>
                <w:rFonts w:ascii="Cambria" w:hAnsi="Cambria"/>
              </w:rPr>
              <w:t xml:space="preserve">and Empowerment </w:t>
            </w:r>
            <w:r w:rsidR="005C1342" w:rsidRPr="006216AF">
              <w:rPr>
                <w:rFonts w:ascii="Cambria" w:hAnsi="Cambria"/>
              </w:rPr>
              <w:t xml:space="preserve">committee to provide </w:t>
            </w:r>
            <w:r w:rsidR="000E7C52" w:rsidRPr="006216AF">
              <w:rPr>
                <w:rFonts w:ascii="Cambria" w:hAnsi="Cambria"/>
              </w:rPr>
              <w:t xml:space="preserve">state treasurers </w:t>
            </w:r>
            <w:r w:rsidR="005C1342" w:rsidRPr="006216AF">
              <w:rPr>
                <w:rFonts w:ascii="Cambria" w:hAnsi="Cambria"/>
              </w:rPr>
              <w:t>with materials to initiate and support financial education programs in their home states; and</w:t>
            </w:r>
            <w:r w:rsidR="006216AF">
              <w:rPr>
                <w:rFonts w:ascii="Cambria" w:hAnsi="Cambria"/>
              </w:rPr>
              <w:t>,</w:t>
            </w:r>
          </w:p>
          <w:p w:rsidR="005C1342" w:rsidRPr="006216AF" w:rsidRDefault="005C1342" w:rsidP="005C1342">
            <w:pPr>
              <w:rPr>
                <w:rFonts w:ascii="Cambria" w:hAnsi="Cambria"/>
              </w:rPr>
            </w:pPr>
          </w:p>
        </w:tc>
      </w:tr>
      <w:tr w:rsidR="00C04CB9" w:rsidRPr="006216AF" w:rsidTr="002C4561">
        <w:tc>
          <w:tcPr>
            <w:tcW w:w="1440" w:type="dxa"/>
          </w:tcPr>
          <w:p w:rsidR="00C04CB9" w:rsidRPr="006216AF" w:rsidRDefault="005C1342">
            <w:pPr>
              <w:rPr>
                <w:rFonts w:ascii="Cambria" w:hAnsi="Cambria"/>
                <w:b/>
              </w:rPr>
            </w:pPr>
            <w:r w:rsidRPr="006216AF">
              <w:rPr>
                <w:rFonts w:ascii="Cambria" w:hAnsi="Cambria"/>
                <w:b/>
              </w:rPr>
              <w:t>Whereas,</w:t>
            </w:r>
          </w:p>
        </w:tc>
        <w:tc>
          <w:tcPr>
            <w:tcW w:w="8649" w:type="dxa"/>
          </w:tcPr>
          <w:p w:rsidR="00C04CB9" w:rsidRPr="006216AF" w:rsidRDefault="005C1342" w:rsidP="004C294E">
            <w:pPr>
              <w:rPr>
                <w:rFonts w:ascii="Cambria" w:hAnsi="Cambria"/>
              </w:rPr>
            </w:pPr>
            <w:r w:rsidRPr="006216AF">
              <w:rPr>
                <w:rFonts w:ascii="Cambria" w:hAnsi="Cambria"/>
              </w:rPr>
              <w:t xml:space="preserve">The NAST Financial Education </w:t>
            </w:r>
            <w:r w:rsidR="00334F32">
              <w:rPr>
                <w:rFonts w:ascii="Cambria" w:hAnsi="Cambria"/>
              </w:rPr>
              <w:t xml:space="preserve">and Empowerment </w:t>
            </w:r>
            <w:r w:rsidRPr="006216AF">
              <w:rPr>
                <w:rFonts w:ascii="Cambria" w:hAnsi="Cambria"/>
              </w:rPr>
              <w:t>committee</w:t>
            </w:r>
            <w:r w:rsidR="004C294E" w:rsidRPr="006216AF">
              <w:rPr>
                <w:rFonts w:ascii="Cambria" w:hAnsi="Cambria"/>
              </w:rPr>
              <w:t xml:space="preserve">, as part of its commitment to assist state treasurers in developing successful financial education initiatives, </w:t>
            </w:r>
            <w:r w:rsidR="001C6CD4">
              <w:rPr>
                <w:rFonts w:ascii="Cambria" w:hAnsi="Cambria"/>
              </w:rPr>
              <w:t xml:space="preserve">leads the Financial Education and Empowerment track at NAST’s Treasury Management Training Symposium each spring, hosts educational webinars on important financial education programs throughout the year and </w:t>
            </w:r>
            <w:r w:rsidR="004C294E" w:rsidRPr="006216AF">
              <w:rPr>
                <w:rFonts w:ascii="Cambria" w:hAnsi="Cambria"/>
              </w:rPr>
              <w:t>offers</w:t>
            </w:r>
            <w:r w:rsidR="006216AF">
              <w:rPr>
                <w:rFonts w:ascii="Cambria" w:hAnsi="Cambria"/>
              </w:rPr>
              <w:t xml:space="preserve"> </w:t>
            </w:r>
            <w:r w:rsidR="004C294E" w:rsidRPr="006216AF">
              <w:rPr>
                <w:rFonts w:ascii="Cambria" w:hAnsi="Cambria"/>
              </w:rPr>
              <w:t>Financial Literacy Resources</w:t>
            </w:r>
            <w:r w:rsidR="001C6CD4">
              <w:rPr>
                <w:rFonts w:ascii="Cambria" w:hAnsi="Cambria"/>
              </w:rPr>
              <w:t>, State Spotlight pages and a Financial Education State Census on</w:t>
            </w:r>
            <w:r w:rsidR="004C294E" w:rsidRPr="006216AF">
              <w:rPr>
                <w:rFonts w:ascii="Cambria" w:hAnsi="Cambria"/>
              </w:rPr>
              <w:t xml:space="preserve"> the NAST website at nast.org; and</w:t>
            </w:r>
            <w:r w:rsidR="006216AF">
              <w:rPr>
                <w:rFonts w:ascii="Cambria" w:hAnsi="Cambria"/>
              </w:rPr>
              <w:t>,</w:t>
            </w:r>
            <w:r w:rsidR="004C294E" w:rsidRPr="006216AF">
              <w:rPr>
                <w:rFonts w:ascii="Cambria" w:hAnsi="Cambria"/>
              </w:rPr>
              <w:t xml:space="preserve"> </w:t>
            </w:r>
          </w:p>
          <w:p w:rsidR="004C294E" w:rsidRPr="006216AF" w:rsidRDefault="004C294E" w:rsidP="004C294E">
            <w:pPr>
              <w:rPr>
                <w:rFonts w:ascii="Cambria" w:hAnsi="Cambria"/>
              </w:rPr>
            </w:pPr>
          </w:p>
        </w:tc>
      </w:tr>
      <w:tr w:rsidR="00C04CB9" w:rsidRPr="006216AF" w:rsidTr="002C4561">
        <w:tc>
          <w:tcPr>
            <w:tcW w:w="1440" w:type="dxa"/>
          </w:tcPr>
          <w:p w:rsidR="00C04CB9" w:rsidRPr="006216AF" w:rsidRDefault="004C294E">
            <w:pPr>
              <w:rPr>
                <w:rFonts w:ascii="Cambria" w:hAnsi="Cambria"/>
                <w:b/>
              </w:rPr>
            </w:pPr>
            <w:r w:rsidRPr="006216AF">
              <w:rPr>
                <w:rFonts w:ascii="Cambria" w:hAnsi="Cambria"/>
                <w:b/>
              </w:rPr>
              <w:t>Whereas,</w:t>
            </w:r>
          </w:p>
        </w:tc>
        <w:tc>
          <w:tcPr>
            <w:tcW w:w="8649" w:type="dxa"/>
          </w:tcPr>
          <w:p w:rsidR="00C04CB9" w:rsidRPr="006216AF" w:rsidRDefault="004C294E" w:rsidP="002C4561">
            <w:pPr>
              <w:ind w:right="-378"/>
              <w:rPr>
                <w:rFonts w:ascii="Cambria" w:hAnsi="Cambria"/>
              </w:rPr>
            </w:pPr>
            <w:r w:rsidRPr="006216AF">
              <w:rPr>
                <w:rFonts w:ascii="Cambria" w:hAnsi="Cambria"/>
              </w:rPr>
              <w:t>Included in the Financial Literacy Resources is a Teacher’s Financial Education Resources page which links to resource providers and background information from a variety of organizations nationwide</w:t>
            </w:r>
            <w:r w:rsidR="00311D83">
              <w:rPr>
                <w:rFonts w:ascii="Cambria" w:hAnsi="Cambria"/>
              </w:rPr>
              <w:t xml:space="preserve"> including the Council for Economic Education</w:t>
            </w:r>
            <w:r w:rsidRPr="006216AF">
              <w:rPr>
                <w:rFonts w:ascii="Cambria" w:hAnsi="Cambria"/>
              </w:rPr>
              <w:t xml:space="preserve">; </w:t>
            </w:r>
            <w:r w:rsidR="002C4561">
              <w:rPr>
                <w:rFonts w:ascii="Cambria" w:hAnsi="Cambria"/>
              </w:rPr>
              <w:t>a</w:t>
            </w:r>
            <w:r w:rsidRPr="006216AF">
              <w:rPr>
                <w:rFonts w:ascii="Cambria" w:hAnsi="Cambria"/>
              </w:rPr>
              <w:t>nd</w:t>
            </w:r>
            <w:r w:rsidR="006216AF">
              <w:rPr>
                <w:rFonts w:ascii="Cambria" w:hAnsi="Cambria"/>
              </w:rPr>
              <w:t>,</w:t>
            </w:r>
          </w:p>
          <w:p w:rsidR="004C294E" w:rsidRPr="006216AF" w:rsidRDefault="004C294E">
            <w:pPr>
              <w:rPr>
                <w:rFonts w:ascii="Cambria" w:hAnsi="Cambria"/>
              </w:rPr>
            </w:pPr>
          </w:p>
        </w:tc>
      </w:tr>
      <w:tr w:rsidR="00C04CB9" w:rsidRPr="006216AF" w:rsidTr="002C4561">
        <w:tc>
          <w:tcPr>
            <w:tcW w:w="1440" w:type="dxa"/>
          </w:tcPr>
          <w:p w:rsidR="00C04CB9" w:rsidRPr="006216AF" w:rsidRDefault="004C294E">
            <w:pPr>
              <w:rPr>
                <w:rFonts w:ascii="Cambria" w:hAnsi="Cambria"/>
                <w:b/>
              </w:rPr>
            </w:pPr>
            <w:r w:rsidRPr="006216AF">
              <w:rPr>
                <w:rFonts w:ascii="Cambria" w:hAnsi="Cambria"/>
                <w:b/>
              </w:rPr>
              <w:t>Whereas,</w:t>
            </w:r>
          </w:p>
        </w:tc>
        <w:tc>
          <w:tcPr>
            <w:tcW w:w="8649" w:type="dxa"/>
          </w:tcPr>
          <w:p w:rsidR="004C294E" w:rsidRPr="006216AF" w:rsidRDefault="004C294E" w:rsidP="004C294E">
            <w:pPr>
              <w:rPr>
                <w:rFonts w:ascii="Cambria" w:hAnsi="Cambria"/>
              </w:rPr>
            </w:pPr>
            <w:r w:rsidRPr="006216AF">
              <w:rPr>
                <w:rFonts w:ascii="Cambria" w:hAnsi="Cambria"/>
              </w:rPr>
              <w:t>Because of the nationwide reach of the Council for Economic Education, a non-profit organization made up of councils from 40 member states that focuses on personal finance and economic education for students K-12 and whose stated vision is “to reach and teach every child in America about personal finance and economics</w:t>
            </w:r>
            <w:r w:rsidR="006216AF">
              <w:rPr>
                <w:rFonts w:ascii="Cambria" w:hAnsi="Cambria"/>
              </w:rPr>
              <w:t>;</w:t>
            </w:r>
            <w:r w:rsidRPr="006216AF">
              <w:rPr>
                <w:rFonts w:ascii="Cambria" w:hAnsi="Cambria"/>
              </w:rPr>
              <w:t>” and</w:t>
            </w:r>
            <w:r w:rsidR="006216AF">
              <w:rPr>
                <w:rFonts w:ascii="Cambria" w:hAnsi="Cambria"/>
              </w:rPr>
              <w:t>,</w:t>
            </w:r>
          </w:p>
          <w:p w:rsidR="00C04CB9" w:rsidRPr="006216AF" w:rsidRDefault="00C04CB9" w:rsidP="004C294E">
            <w:pPr>
              <w:rPr>
                <w:rFonts w:ascii="Cambria" w:hAnsi="Cambria"/>
              </w:rPr>
            </w:pPr>
          </w:p>
        </w:tc>
      </w:tr>
      <w:tr w:rsidR="00C04CB9" w:rsidRPr="006216AF" w:rsidTr="002C4561">
        <w:tc>
          <w:tcPr>
            <w:tcW w:w="1440" w:type="dxa"/>
          </w:tcPr>
          <w:p w:rsidR="00C04CB9" w:rsidRPr="006216AF" w:rsidRDefault="004C294E">
            <w:pPr>
              <w:rPr>
                <w:rFonts w:ascii="Cambria" w:hAnsi="Cambria"/>
                <w:b/>
              </w:rPr>
            </w:pPr>
            <w:r w:rsidRPr="006216AF">
              <w:rPr>
                <w:rFonts w:ascii="Cambria" w:hAnsi="Cambria"/>
                <w:b/>
              </w:rPr>
              <w:t>Whereas,</w:t>
            </w:r>
          </w:p>
        </w:tc>
        <w:tc>
          <w:tcPr>
            <w:tcW w:w="8649" w:type="dxa"/>
          </w:tcPr>
          <w:p w:rsidR="00C04CB9" w:rsidRPr="006216AF" w:rsidRDefault="004C294E">
            <w:pPr>
              <w:rPr>
                <w:rFonts w:ascii="Cambria" w:hAnsi="Cambria"/>
              </w:rPr>
            </w:pPr>
            <w:r w:rsidRPr="006216AF">
              <w:rPr>
                <w:rFonts w:ascii="Cambria" w:hAnsi="Cambria"/>
              </w:rPr>
              <w:t xml:space="preserve">One significant activity of the state councils is the annual </w:t>
            </w:r>
            <w:r w:rsidR="006216AF">
              <w:rPr>
                <w:rFonts w:ascii="Cambria" w:hAnsi="Cambria"/>
              </w:rPr>
              <w:t>National P</w:t>
            </w:r>
            <w:r w:rsidRPr="006216AF">
              <w:rPr>
                <w:rFonts w:ascii="Cambria" w:hAnsi="Cambria"/>
              </w:rPr>
              <w:t>ersonal Finance Challenge competition</w:t>
            </w:r>
            <w:r w:rsidR="00BE485A" w:rsidRPr="006216AF">
              <w:rPr>
                <w:rFonts w:ascii="Cambria" w:hAnsi="Cambria"/>
              </w:rPr>
              <w:t>, which brings together teams of high school students to demonstrate their knowledge of personal finance and family economics in a nationwide event</w:t>
            </w:r>
            <w:r w:rsidR="006216AF">
              <w:rPr>
                <w:rFonts w:ascii="Cambria" w:hAnsi="Cambria"/>
              </w:rPr>
              <w:t>;</w:t>
            </w:r>
            <w:r w:rsidR="00BE485A" w:rsidRPr="006216AF">
              <w:rPr>
                <w:rFonts w:ascii="Cambria" w:hAnsi="Cambria"/>
              </w:rPr>
              <w:t xml:space="preserve"> and</w:t>
            </w:r>
            <w:r w:rsidR="006216AF">
              <w:rPr>
                <w:rFonts w:ascii="Cambria" w:hAnsi="Cambria"/>
              </w:rPr>
              <w:t>,</w:t>
            </w:r>
            <w:r w:rsidR="00BE485A" w:rsidRPr="006216AF">
              <w:rPr>
                <w:rFonts w:ascii="Cambria" w:hAnsi="Cambria"/>
              </w:rPr>
              <w:t xml:space="preserve"> </w:t>
            </w:r>
          </w:p>
          <w:p w:rsidR="00BE485A" w:rsidRPr="006216AF" w:rsidRDefault="00BE485A">
            <w:pPr>
              <w:rPr>
                <w:rFonts w:ascii="Cambria" w:hAnsi="Cambria"/>
              </w:rPr>
            </w:pPr>
          </w:p>
        </w:tc>
      </w:tr>
      <w:tr w:rsidR="00C04CB9" w:rsidRPr="006216AF" w:rsidTr="002C4561">
        <w:tc>
          <w:tcPr>
            <w:tcW w:w="1440" w:type="dxa"/>
          </w:tcPr>
          <w:p w:rsidR="00C04CB9" w:rsidRPr="006216AF" w:rsidRDefault="00BE485A">
            <w:pPr>
              <w:rPr>
                <w:rFonts w:ascii="Cambria" w:hAnsi="Cambria"/>
                <w:b/>
              </w:rPr>
            </w:pPr>
            <w:r w:rsidRPr="006216AF">
              <w:rPr>
                <w:rFonts w:ascii="Cambria" w:hAnsi="Cambria"/>
                <w:b/>
              </w:rPr>
              <w:t>Whereas,</w:t>
            </w:r>
          </w:p>
        </w:tc>
        <w:tc>
          <w:tcPr>
            <w:tcW w:w="8649" w:type="dxa"/>
          </w:tcPr>
          <w:p w:rsidR="00BE485A" w:rsidRPr="006216AF" w:rsidRDefault="00BE485A">
            <w:pPr>
              <w:rPr>
                <w:rFonts w:ascii="Cambria" w:hAnsi="Cambria"/>
              </w:rPr>
            </w:pPr>
            <w:r w:rsidRPr="006216AF">
              <w:rPr>
                <w:rFonts w:ascii="Cambria" w:hAnsi="Cambria"/>
              </w:rPr>
              <w:t xml:space="preserve">The 2018 </w:t>
            </w:r>
            <w:r w:rsidR="006216AF">
              <w:rPr>
                <w:rFonts w:ascii="Cambria" w:hAnsi="Cambria"/>
              </w:rPr>
              <w:t>N</w:t>
            </w:r>
            <w:r w:rsidRPr="006216AF">
              <w:rPr>
                <w:rFonts w:ascii="Cambria" w:hAnsi="Cambria"/>
              </w:rPr>
              <w:t>ational Personal Finance Challenge competition</w:t>
            </w:r>
            <w:r w:rsidR="006216AF">
              <w:rPr>
                <w:rFonts w:ascii="Cambria" w:hAnsi="Cambria"/>
              </w:rPr>
              <w:t xml:space="preserve">, </w:t>
            </w:r>
            <w:r w:rsidRPr="006216AF">
              <w:rPr>
                <w:rFonts w:ascii="Cambria" w:hAnsi="Cambria"/>
              </w:rPr>
              <w:t>will be May 1</w:t>
            </w:r>
            <w:r w:rsidR="006216AF">
              <w:rPr>
                <w:rFonts w:ascii="Cambria" w:hAnsi="Cambria"/>
              </w:rPr>
              <w:t>1</w:t>
            </w:r>
            <w:r w:rsidRPr="006216AF">
              <w:rPr>
                <w:rFonts w:ascii="Cambria" w:hAnsi="Cambria"/>
              </w:rPr>
              <w:t>, 2018</w:t>
            </w:r>
            <w:r w:rsidR="006216AF">
              <w:rPr>
                <w:rFonts w:ascii="Cambria" w:hAnsi="Cambria"/>
              </w:rPr>
              <w:t>;</w:t>
            </w:r>
            <w:r w:rsidRPr="006216AF">
              <w:rPr>
                <w:rFonts w:ascii="Cambria" w:hAnsi="Cambria"/>
              </w:rPr>
              <w:t xml:space="preserve"> and</w:t>
            </w:r>
            <w:r w:rsidR="006216AF">
              <w:rPr>
                <w:rFonts w:ascii="Cambria" w:hAnsi="Cambria"/>
              </w:rPr>
              <w:t>,</w:t>
            </w:r>
          </w:p>
        </w:tc>
      </w:tr>
      <w:tr w:rsidR="00BE485A" w:rsidRPr="006216AF" w:rsidTr="002C4561">
        <w:tc>
          <w:tcPr>
            <w:tcW w:w="1440" w:type="dxa"/>
          </w:tcPr>
          <w:p w:rsidR="00BE485A" w:rsidRPr="006216AF" w:rsidRDefault="00BE485A">
            <w:pPr>
              <w:rPr>
                <w:rFonts w:ascii="Cambria" w:hAnsi="Cambria"/>
                <w:b/>
              </w:rPr>
            </w:pPr>
          </w:p>
        </w:tc>
        <w:tc>
          <w:tcPr>
            <w:tcW w:w="8649" w:type="dxa"/>
          </w:tcPr>
          <w:p w:rsidR="00BE485A" w:rsidRPr="006216AF" w:rsidRDefault="00BE485A" w:rsidP="00BE485A">
            <w:pPr>
              <w:rPr>
                <w:rFonts w:ascii="Cambria" w:hAnsi="Cambria"/>
              </w:rPr>
            </w:pPr>
          </w:p>
        </w:tc>
      </w:tr>
      <w:tr w:rsidR="00BE485A" w:rsidRPr="006216AF" w:rsidTr="002C4561">
        <w:tc>
          <w:tcPr>
            <w:tcW w:w="1440" w:type="dxa"/>
          </w:tcPr>
          <w:p w:rsidR="002C4561" w:rsidRDefault="00BE485A" w:rsidP="00DD4492">
            <w:pPr>
              <w:rPr>
                <w:rFonts w:ascii="Cambria" w:hAnsi="Cambria"/>
                <w:b/>
              </w:rPr>
            </w:pPr>
            <w:r w:rsidRPr="006216AF">
              <w:rPr>
                <w:rFonts w:ascii="Cambria" w:hAnsi="Cambria"/>
                <w:b/>
              </w:rPr>
              <w:t xml:space="preserve">Now, </w:t>
            </w:r>
          </w:p>
          <w:p w:rsidR="00BE485A" w:rsidRPr="006216AF" w:rsidRDefault="00BE485A" w:rsidP="00DD4492">
            <w:pPr>
              <w:rPr>
                <w:rFonts w:ascii="Cambria" w:hAnsi="Cambria"/>
                <w:b/>
              </w:rPr>
            </w:pPr>
            <w:r w:rsidRPr="006216AF">
              <w:rPr>
                <w:rFonts w:ascii="Cambria" w:hAnsi="Cambria"/>
                <w:b/>
              </w:rPr>
              <w:t>Therefore,</w:t>
            </w:r>
            <w:r w:rsidR="006216AF" w:rsidRPr="006216AF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8649" w:type="dxa"/>
          </w:tcPr>
          <w:p w:rsidR="002C4561" w:rsidRDefault="002C4561" w:rsidP="00DD4492">
            <w:pPr>
              <w:rPr>
                <w:rFonts w:ascii="Cambria" w:hAnsi="Cambria"/>
              </w:rPr>
            </w:pPr>
          </w:p>
          <w:p w:rsidR="00BE485A" w:rsidRPr="006216AF" w:rsidRDefault="00DD4492" w:rsidP="00DD4492">
            <w:pPr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The National Association of State Treasurers</w:t>
            </w:r>
            <w:r w:rsidR="00BE485A" w:rsidRPr="006216AF">
              <w:rPr>
                <w:rFonts w:ascii="Cambria" w:hAnsi="Cambria"/>
              </w:rPr>
              <w:t xml:space="preserve"> officially endorse</w:t>
            </w:r>
            <w:r>
              <w:rPr>
                <w:rFonts w:ascii="Cambria" w:hAnsi="Cambria"/>
              </w:rPr>
              <w:t>s</w:t>
            </w:r>
            <w:r w:rsidR="00BE485A" w:rsidRPr="006216AF">
              <w:rPr>
                <w:rFonts w:ascii="Cambria" w:hAnsi="Cambria"/>
              </w:rPr>
              <w:t xml:space="preserve"> the </w:t>
            </w:r>
            <w:r w:rsidR="00923597">
              <w:rPr>
                <w:rFonts w:ascii="Cambria" w:hAnsi="Cambria"/>
              </w:rPr>
              <w:t>2018 N</w:t>
            </w:r>
            <w:r w:rsidR="00BE485A" w:rsidRPr="006216AF">
              <w:rPr>
                <w:rFonts w:ascii="Cambria" w:hAnsi="Cambria"/>
              </w:rPr>
              <w:t xml:space="preserve">ational Personal Finance Challenge competition </w:t>
            </w:r>
            <w:r>
              <w:rPr>
                <w:rFonts w:ascii="Cambria" w:hAnsi="Cambria"/>
              </w:rPr>
              <w:t xml:space="preserve">and </w:t>
            </w:r>
            <w:r w:rsidR="00BE485A" w:rsidRPr="006216AF">
              <w:rPr>
                <w:rFonts w:ascii="Cambria" w:hAnsi="Cambria"/>
              </w:rPr>
              <w:t>encourage</w:t>
            </w:r>
            <w:r>
              <w:rPr>
                <w:rFonts w:ascii="Cambria" w:hAnsi="Cambria"/>
              </w:rPr>
              <w:t>s</w:t>
            </w:r>
            <w:r w:rsidR="00BE485A" w:rsidRPr="006216AF">
              <w:rPr>
                <w:rFonts w:ascii="Cambria" w:hAnsi="Cambria"/>
              </w:rPr>
              <w:t xml:space="preserve"> high school students from </w:t>
            </w:r>
            <w:r>
              <w:rPr>
                <w:rFonts w:ascii="Cambria" w:hAnsi="Cambria"/>
              </w:rPr>
              <w:t>throughout the nation</w:t>
            </w:r>
            <w:r w:rsidR="00BE485A" w:rsidRPr="006216AF">
              <w:rPr>
                <w:rFonts w:ascii="Cambria" w:hAnsi="Cambria"/>
              </w:rPr>
              <w:t xml:space="preserve"> to</w:t>
            </w:r>
            <w:r>
              <w:rPr>
                <w:rFonts w:ascii="Cambria" w:hAnsi="Cambria"/>
              </w:rPr>
              <w:t xml:space="preserve"> prepare for and</w:t>
            </w:r>
            <w:r w:rsidR="00BE485A" w:rsidRPr="006216AF">
              <w:rPr>
                <w:rFonts w:ascii="Cambria" w:hAnsi="Cambria"/>
              </w:rPr>
              <w:t xml:space="preserve"> enter the competition.   </w:t>
            </w:r>
          </w:p>
        </w:tc>
      </w:tr>
    </w:tbl>
    <w:p w:rsidR="00C04CB9" w:rsidRPr="006216AF" w:rsidRDefault="00C04CB9" w:rsidP="00DD4492">
      <w:pPr>
        <w:rPr>
          <w:rFonts w:ascii="Cambria" w:hAnsi="Cambria"/>
        </w:rPr>
      </w:pPr>
    </w:p>
    <w:sectPr w:rsidR="00C04CB9" w:rsidRPr="006216AF" w:rsidSect="002C4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15" w:rsidRDefault="008D6015" w:rsidP="007E67A2">
      <w:pPr>
        <w:spacing w:line="240" w:lineRule="auto"/>
      </w:pPr>
      <w:r>
        <w:separator/>
      </w:r>
    </w:p>
  </w:endnote>
  <w:endnote w:type="continuationSeparator" w:id="0">
    <w:p w:rsidR="008D6015" w:rsidRDefault="008D6015" w:rsidP="007E6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A2" w:rsidRDefault="007E6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A2" w:rsidRDefault="007E6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A2" w:rsidRDefault="007E6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15" w:rsidRDefault="008D6015" w:rsidP="007E67A2">
      <w:pPr>
        <w:spacing w:line="240" w:lineRule="auto"/>
      </w:pPr>
      <w:r>
        <w:separator/>
      </w:r>
    </w:p>
  </w:footnote>
  <w:footnote w:type="continuationSeparator" w:id="0">
    <w:p w:rsidR="008D6015" w:rsidRDefault="008D6015" w:rsidP="007E6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A2" w:rsidRDefault="007E6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A2" w:rsidRDefault="007E6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A2" w:rsidRDefault="007E6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B9"/>
    <w:rsid w:val="000E7C52"/>
    <w:rsid w:val="001C6CD4"/>
    <w:rsid w:val="002C4561"/>
    <w:rsid w:val="002F375C"/>
    <w:rsid w:val="00311D83"/>
    <w:rsid w:val="003321A5"/>
    <w:rsid w:val="00334F32"/>
    <w:rsid w:val="00395F4D"/>
    <w:rsid w:val="004C294E"/>
    <w:rsid w:val="005C1342"/>
    <w:rsid w:val="005D7BB7"/>
    <w:rsid w:val="006216AF"/>
    <w:rsid w:val="006C1F27"/>
    <w:rsid w:val="007E67A2"/>
    <w:rsid w:val="008939E6"/>
    <w:rsid w:val="008D6015"/>
    <w:rsid w:val="00923597"/>
    <w:rsid w:val="009A139A"/>
    <w:rsid w:val="00B053DF"/>
    <w:rsid w:val="00BE485A"/>
    <w:rsid w:val="00C04CB9"/>
    <w:rsid w:val="00C407EC"/>
    <w:rsid w:val="00C978D8"/>
    <w:rsid w:val="00D468CC"/>
    <w:rsid w:val="00D720CC"/>
    <w:rsid w:val="00DD4492"/>
    <w:rsid w:val="00E34B98"/>
    <w:rsid w:val="00F01EF6"/>
    <w:rsid w:val="00F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186076"/>
  <w15:chartTrackingRefBased/>
  <w15:docId w15:val="{B5F9FA46-8CBB-4816-83B9-BE979D68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C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7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A2"/>
  </w:style>
  <w:style w:type="paragraph" w:styleId="Footer">
    <w:name w:val="footer"/>
    <w:basedOn w:val="Normal"/>
    <w:link w:val="FooterChar"/>
    <w:uiPriority w:val="99"/>
    <w:unhideWhenUsed/>
    <w:rsid w:val="007E67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7A2"/>
  </w:style>
  <w:style w:type="paragraph" w:styleId="BalloonText">
    <w:name w:val="Balloon Text"/>
    <w:basedOn w:val="Normal"/>
    <w:link w:val="BalloonTextChar"/>
    <w:uiPriority w:val="99"/>
    <w:semiHidden/>
    <w:unhideWhenUsed/>
    <w:rsid w:val="007E6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Langemach</dc:creator>
  <cp:keywords/>
  <dc:description/>
  <cp:lastModifiedBy>Jana Langemach</cp:lastModifiedBy>
  <cp:revision>3</cp:revision>
  <cp:lastPrinted>2018-02-07T19:42:00Z</cp:lastPrinted>
  <dcterms:created xsi:type="dcterms:W3CDTF">2017-12-12T19:22:00Z</dcterms:created>
  <dcterms:modified xsi:type="dcterms:W3CDTF">2018-02-07T20:00:00Z</dcterms:modified>
</cp:coreProperties>
</file>