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4815C" w14:textId="1FBCC1BC" w:rsidR="0054564A" w:rsidRDefault="0054564A" w:rsidP="00587D03">
      <w:bookmarkStart w:id="0" w:name="_GoBack"/>
      <w:bookmarkEnd w:id="0"/>
      <w:r w:rsidRPr="0054564A">
        <w:t>Remote Deposit Capture Procedures</w:t>
      </w:r>
      <w:r w:rsidR="00925394">
        <w:t xml:space="preserve"> </w:t>
      </w:r>
    </w:p>
    <w:p w14:paraId="203AB9E2" w14:textId="7FB40CD3" w:rsidR="00942F0E" w:rsidRPr="00890774" w:rsidRDefault="00942F0E" w:rsidP="0054564A">
      <w:pPr>
        <w:rPr>
          <w:rFonts w:ascii="Arial" w:hAnsi="Arial" w:cs="Arial"/>
          <w:i/>
        </w:rPr>
      </w:pPr>
      <w:r w:rsidRPr="00890774">
        <w:rPr>
          <w:rFonts w:ascii="Arial" w:hAnsi="Arial" w:cs="Arial"/>
          <w:i/>
        </w:rPr>
        <w:t xml:space="preserve">Updated May </w:t>
      </w:r>
      <w:r w:rsidR="00CA13AC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>5</w:t>
      </w:r>
      <w:r w:rsidRPr="00890774">
        <w:rPr>
          <w:rFonts w:ascii="Arial" w:hAnsi="Arial" w:cs="Arial"/>
          <w:i/>
        </w:rPr>
        <w:t>, 2017</w:t>
      </w:r>
    </w:p>
    <w:p w14:paraId="23A36D62" w14:textId="77777777" w:rsidR="002462D9" w:rsidRDefault="002462D9" w:rsidP="0054564A">
      <w:pPr>
        <w:rPr>
          <w:rFonts w:ascii="Arial" w:hAnsi="Arial" w:cs="Arial"/>
        </w:rPr>
      </w:pPr>
    </w:p>
    <w:p w14:paraId="4FA8081A" w14:textId="026AF3C4" w:rsidR="002462D9" w:rsidRDefault="002462D9" w:rsidP="005456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*Procedures are customized by </w:t>
      </w:r>
      <w:r w:rsidR="002805AA">
        <w:rPr>
          <w:rFonts w:ascii="Arial" w:hAnsi="Arial" w:cs="Arial"/>
        </w:rPr>
        <w:t>the State Treasurer’s Office</w:t>
      </w:r>
      <w:r w:rsidR="00C458EE">
        <w:rPr>
          <w:rFonts w:ascii="Arial" w:hAnsi="Arial" w:cs="Arial"/>
        </w:rPr>
        <w:t>, State agencies,</w:t>
      </w:r>
      <w:r w:rsidR="002805AA">
        <w:rPr>
          <w:rFonts w:ascii="Arial" w:hAnsi="Arial" w:cs="Arial"/>
        </w:rPr>
        <w:t xml:space="preserve"> and</w:t>
      </w:r>
      <w:r w:rsidR="002611E9">
        <w:rPr>
          <w:rFonts w:ascii="Arial" w:hAnsi="Arial" w:cs="Arial"/>
        </w:rPr>
        <w:t xml:space="preserve"> Union Bank</w:t>
      </w:r>
      <w:r w:rsidR="00C458EE">
        <w:rPr>
          <w:rFonts w:ascii="Arial" w:hAnsi="Arial" w:cs="Arial"/>
        </w:rPr>
        <w:t xml:space="preserve"> and Trust</w:t>
      </w:r>
      <w:r>
        <w:rPr>
          <w:rFonts w:ascii="Arial" w:hAnsi="Arial" w:cs="Arial"/>
        </w:rPr>
        <w:t>.</w:t>
      </w:r>
    </w:p>
    <w:p w14:paraId="69BBEDD8" w14:textId="69A06A1B" w:rsidR="009E502A" w:rsidRDefault="009E502A" w:rsidP="0054564A">
      <w:pPr>
        <w:rPr>
          <w:rFonts w:ascii="Arial" w:hAnsi="Arial" w:cs="Arial"/>
        </w:rPr>
      </w:pPr>
    </w:p>
    <w:p w14:paraId="4A138A90" w14:textId="3A0644A8" w:rsidR="009E502A" w:rsidRPr="00890774" w:rsidRDefault="009E502A" w:rsidP="0054564A">
      <w:pPr>
        <w:rPr>
          <w:rFonts w:ascii="Arial" w:hAnsi="Arial" w:cs="Arial"/>
          <w:b/>
        </w:rPr>
      </w:pPr>
      <w:r w:rsidRPr="00890774">
        <w:rPr>
          <w:rFonts w:ascii="Arial" w:hAnsi="Arial" w:cs="Arial"/>
          <w:b/>
        </w:rPr>
        <w:t>Procedures</w:t>
      </w:r>
    </w:p>
    <w:p w14:paraId="7C4BB82D" w14:textId="77777777" w:rsidR="0054564A" w:rsidRPr="00EC3FEC" w:rsidRDefault="0054564A" w:rsidP="0054564A">
      <w:pPr>
        <w:rPr>
          <w:rFonts w:ascii="Arial" w:hAnsi="Arial" w:cs="Arial"/>
        </w:rPr>
      </w:pPr>
    </w:p>
    <w:p w14:paraId="0A652284" w14:textId="0402FC80" w:rsidR="0054564A" w:rsidRPr="00890774" w:rsidRDefault="0054564A" w:rsidP="0054564A">
      <w:pPr>
        <w:pStyle w:val="ListParagraph"/>
        <w:numPr>
          <w:ilvl w:val="0"/>
          <w:numId w:val="1"/>
        </w:numPr>
        <w:rPr>
          <w:b/>
        </w:rPr>
      </w:pPr>
      <w:r w:rsidRPr="00890774">
        <w:rPr>
          <w:b/>
        </w:rPr>
        <w:t>P</w:t>
      </w:r>
      <w:r w:rsidR="00F7264F" w:rsidRPr="00890774">
        <w:rPr>
          <w:b/>
        </w:rPr>
        <w:t>repare documents to be deposited.</w:t>
      </w:r>
    </w:p>
    <w:p w14:paraId="64E9D1C1" w14:textId="431FCEA3" w:rsidR="00F7264F" w:rsidRDefault="00326DEC" w:rsidP="00F7264F">
      <w:pPr>
        <w:pStyle w:val="ListParagraph"/>
        <w:numPr>
          <w:ilvl w:val="1"/>
          <w:numId w:val="1"/>
        </w:numPr>
      </w:pPr>
      <w:r>
        <w:t>C</w:t>
      </w:r>
      <w:r w:rsidR="00F7264F">
        <w:t xml:space="preserve">hecks that are unreadable (written in red ink or by a gel </w:t>
      </w:r>
      <w:r w:rsidR="00C458EE">
        <w:t>pen</w:t>
      </w:r>
      <w:r w:rsidR="00F7264F">
        <w:t xml:space="preserve">) </w:t>
      </w:r>
      <w:r>
        <w:t xml:space="preserve">and </w:t>
      </w:r>
      <w:r w:rsidR="00C458EE">
        <w:t xml:space="preserve">checks that </w:t>
      </w:r>
      <w:r w:rsidR="00F7264F">
        <w:t xml:space="preserve">cannot be scanned </w:t>
      </w:r>
      <w:r w:rsidR="00C458EE">
        <w:t xml:space="preserve">through </w:t>
      </w:r>
      <w:r w:rsidR="00F7264F">
        <w:t>the remote deposit capture solution for any reason</w:t>
      </w:r>
      <w:r>
        <w:t xml:space="preserve"> should be put</w:t>
      </w:r>
      <w:r w:rsidR="00F7264F">
        <w:t xml:space="preserve"> in a separate batch</w:t>
      </w:r>
      <w:r w:rsidR="00C458EE">
        <w:t>. S</w:t>
      </w:r>
      <w:r w:rsidR="00F7264F">
        <w:t>ee below for special handling.</w:t>
      </w:r>
    </w:p>
    <w:p w14:paraId="7920D4F7" w14:textId="2AD6CF8A" w:rsidR="00F7264F" w:rsidRDefault="00F7264F" w:rsidP="00F7264F">
      <w:pPr>
        <w:pStyle w:val="ListParagraph"/>
        <w:numPr>
          <w:ilvl w:val="1"/>
          <w:numId w:val="1"/>
        </w:numPr>
      </w:pPr>
      <w:r>
        <w:t xml:space="preserve">If </w:t>
      </w:r>
      <w:r w:rsidR="00C458EE">
        <w:t xml:space="preserve">a </w:t>
      </w:r>
      <w:r>
        <w:t>money order</w:t>
      </w:r>
      <w:r w:rsidR="00C458EE">
        <w:t xml:space="preserve"> is </w:t>
      </w:r>
      <w:r>
        <w:t xml:space="preserve">included in the deposit, write the dollar amount on the money order before scanning.  </w:t>
      </w:r>
    </w:p>
    <w:p w14:paraId="7B971198" w14:textId="05BD8DBA" w:rsidR="00925394" w:rsidRDefault="00F7264F" w:rsidP="001A7A9F">
      <w:pPr>
        <w:pStyle w:val="ListParagraph"/>
        <w:numPr>
          <w:ilvl w:val="1"/>
          <w:numId w:val="1"/>
        </w:numPr>
      </w:pPr>
      <w:r>
        <w:t xml:space="preserve">Prepare a tape for all documents deposited remotely. </w:t>
      </w:r>
      <w:r w:rsidR="0054564A">
        <w:t xml:space="preserve">This will </w:t>
      </w:r>
      <w:r>
        <w:t>help balance</w:t>
      </w:r>
      <w:r w:rsidR="0054564A">
        <w:t xml:space="preserve"> when checks are </w:t>
      </w:r>
      <w:r w:rsidR="00590C31">
        <w:t xml:space="preserve">scanned and </w:t>
      </w:r>
      <w:r w:rsidR="0054564A">
        <w:t xml:space="preserve">processed </w:t>
      </w:r>
      <w:r w:rsidR="00590C31">
        <w:t xml:space="preserve">using the Desktop Teller on </w:t>
      </w:r>
      <w:r w:rsidR="00C458EE">
        <w:t xml:space="preserve">the </w:t>
      </w:r>
      <w:r w:rsidR="00590C31">
        <w:t>Union Bank website.</w:t>
      </w:r>
    </w:p>
    <w:p w14:paraId="6D8AFCD0" w14:textId="77777777" w:rsidR="0062055D" w:rsidRDefault="0062055D" w:rsidP="0062055D">
      <w:pPr>
        <w:pStyle w:val="ListParagraph"/>
        <w:ind w:left="1440"/>
      </w:pPr>
    </w:p>
    <w:p w14:paraId="08119680" w14:textId="77777777" w:rsidR="0054564A" w:rsidRPr="00913A1D" w:rsidRDefault="0054564A" w:rsidP="0054564A">
      <w:pPr>
        <w:pStyle w:val="ListParagraph"/>
        <w:numPr>
          <w:ilvl w:val="0"/>
          <w:numId w:val="1"/>
        </w:numPr>
        <w:rPr>
          <w:b/>
        </w:rPr>
      </w:pPr>
      <w:r w:rsidRPr="00913A1D">
        <w:rPr>
          <w:b/>
        </w:rPr>
        <w:t>Process and submit the check deposit to the bank</w:t>
      </w:r>
      <w:r w:rsidR="00B72068" w:rsidRPr="00913A1D">
        <w:rPr>
          <w:b/>
        </w:rPr>
        <w:t xml:space="preserve"> via the remote deposit capture machine</w:t>
      </w:r>
      <w:r w:rsidRPr="00913A1D">
        <w:rPr>
          <w:b/>
        </w:rPr>
        <w:t>.</w:t>
      </w:r>
    </w:p>
    <w:p w14:paraId="25C7655F" w14:textId="2514B3D3" w:rsidR="008C6563" w:rsidRDefault="008C6563" w:rsidP="008C6563">
      <w:pPr>
        <w:pStyle w:val="ListParagraph"/>
        <w:numPr>
          <w:ilvl w:val="1"/>
          <w:numId w:val="1"/>
        </w:numPr>
      </w:pPr>
      <w:r>
        <w:t xml:space="preserve">If </w:t>
      </w:r>
      <w:r w:rsidR="00C458EE">
        <w:t xml:space="preserve">the </w:t>
      </w:r>
      <w:r>
        <w:t>deposit is over $500,000, call the Treasurer’s Office at 402-471-4149 to advise Treasury Management so proper collateral can be pledged.</w:t>
      </w:r>
    </w:p>
    <w:p w14:paraId="6D88C22E" w14:textId="77777777" w:rsidR="0062055D" w:rsidRDefault="0062055D" w:rsidP="0062055D">
      <w:pPr>
        <w:pStyle w:val="ListParagraph"/>
        <w:ind w:left="1440"/>
      </w:pPr>
    </w:p>
    <w:p w14:paraId="328E424B" w14:textId="2643790D" w:rsidR="0054564A" w:rsidRDefault="00F7264F" w:rsidP="0054564A">
      <w:pPr>
        <w:pStyle w:val="ListParagraph"/>
        <w:numPr>
          <w:ilvl w:val="0"/>
          <w:numId w:val="1"/>
        </w:numPr>
      </w:pPr>
      <w:r w:rsidRPr="00913A1D">
        <w:rPr>
          <w:b/>
        </w:rPr>
        <w:t xml:space="preserve">Once </w:t>
      </w:r>
      <w:r w:rsidR="0054564A" w:rsidRPr="00913A1D">
        <w:rPr>
          <w:b/>
        </w:rPr>
        <w:t xml:space="preserve">all </w:t>
      </w:r>
      <w:r w:rsidRPr="00913A1D">
        <w:rPr>
          <w:b/>
        </w:rPr>
        <w:t>items</w:t>
      </w:r>
      <w:r w:rsidR="0054564A" w:rsidRPr="00913A1D">
        <w:rPr>
          <w:b/>
        </w:rPr>
        <w:t xml:space="preserve"> </w:t>
      </w:r>
      <w:r w:rsidR="00C458EE">
        <w:rPr>
          <w:b/>
        </w:rPr>
        <w:t>are</w:t>
      </w:r>
      <w:r w:rsidR="0054564A" w:rsidRPr="00913A1D">
        <w:rPr>
          <w:b/>
        </w:rPr>
        <w:t xml:space="preserve"> processed, prepare the </w:t>
      </w:r>
      <w:r w:rsidR="002611E9" w:rsidRPr="00913A1D">
        <w:rPr>
          <w:b/>
        </w:rPr>
        <w:t>E1</w:t>
      </w:r>
      <w:r w:rsidR="0054564A" w:rsidRPr="00913A1D">
        <w:rPr>
          <w:b/>
        </w:rPr>
        <w:t xml:space="preserve"> deposit document</w:t>
      </w:r>
      <w:r w:rsidR="0054564A" w:rsidRPr="00B87C10">
        <w:rPr>
          <w:b/>
        </w:rPr>
        <w:t xml:space="preserve"> to be </w:t>
      </w:r>
      <w:r w:rsidR="002611E9" w:rsidRPr="00B87C10">
        <w:rPr>
          <w:b/>
        </w:rPr>
        <w:t xml:space="preserve">scanned and emailed to </w:t>
      </w:r>
      <w:hyperlink r:id="rId8" w:history="1">
        <w:r w:rsidR="002611E9" w:rsidRPr="002611E9">
          <w:rPr>
            <w:rStyle w:val="Hyperlink"/>
          </w:rPr>
          <w:t>NST.TMStaff@nebraska.gov</w:t>
        </w:r>
      </w:hyperlink>
      <w:r w:rsidR="00476902">
        <w:t>.</w:t>
      </w:r>
    </w:p>
    <w:p w14:paraId="1691FA29" w14:textId="5FEEFCC6" w:rsidR="0054564A" w:rsidRDefault="0054564A" w:rsidP="0054564A">
      <w:pPr>
        <w:pStyle w:val="ListParagraph"/>
        <w:numPr>
          <w:ilvl w:val="1"/>
          <w:numId w:val="1"/>
        </w:numPr>
      </w:pPr>
      <w:r>
        <w:t>If more than one batch is sent to the ban</w:t>
      </w:r>
      <w:r w:rsidR="005323E9">
        <w:t>k in one day</w:t>
      </w:r>
      <w:r w:rsidR="00C458EE">
        <w:t>,</w:t>
      </w:r>
      <w:r w:rsidR="005323E9">
        <w:t xml:space="preserve"> create </w:t>
      </w:r>
      <w:r w:rsidR="005323E9" w:rsidRPr="00B87C10">
        <w:rPr>
          <w:b/>
        </w:rPr>
        <w:t xml:space="preserve">only </w:t>
      </w:r>
      <w:r w:rsidR="00C458EE" w:rsidRPr="00B87C10">
        <w:rPr>
          <w:b/>
        </w:rPr>
        <w:t>one</w:t>
      </w:r>
      <w:r w:rsidR="00C458EE">
        <w:t xml:space="preserve"> </w:t>
      </w:r>
      <w:r w:rsidR="005323E9">
        <w:t>E1</w:t>
      </w:r>
      <w:r>
        <w:t xml:space="preserve"> deposit document.  </w:t>
      </w:r>
    </w:p>
    <w:p w14:paraId="7936B23C" w14:textId="43B4C2B0" w:rsidR="0054564A" w:rsidRDefault="0054564A" w:rsidP="0054564A">
      <w:pPr>
        <w:pStyle w:val="ListParagraph"/>
        <w:numPr>
          <w:ilvl w:val="1"/>
          <w:numId w:val="1"/>
        </w:numPr>
      </w:pPr>
      <w:r>
        <w:t xml:space="preserve">When preparing the </w:t>
      </w:r>
      <w:r w:rsidR="002611E9">
        <w:t xml:space="preserve">E1 </w:t>
      </w:r>
      <w:r w:rsidR="00B87C10">
        <w:t>d</w:t>
      </w:r>
      <w:r>
        <w:t xml:space="preserve">eposit </w:t>
      </w:r>
      <w:r w:rsidR="00B87C10">
        <w:t>d</w:t>
      </w:r>
      <w:r>
        <w:t xml:space="preserve">ocument, the agency </w:t>
      </w:r>
      <w:r w:rsidR="00821383">
        <w:t xml:space="preserve">will </w:t>
      </w:r>
      <w:r>
        <w:t>select the</w:t>
      </w:r>
      <w:r w:rsidR="0062055D">
        <w:t xml:space="preserve"> Union</w:t>
      </w:r>
      <w:r>
        <w:t xml:space="preserve"> </w:t>
      </w:r>
      <w:r w:rsidR="0062055D">
        <w:t>B</w:t>
      </w:r>
      <w:r>
        <w:t xml:space="preserve">ank </w:t>
      </w:r>
      <w:r w:rsidR="0062055D">
        <w:t>account number 99991.110200.7</w:t>
      </w:r>
      <w:r>
        <w:t xml:space="preserve">.  Contact the Treasurer’s Office </w:t>
      </w:r>
      <w:r w:rsidR="00821383">
        <w:t>for</w:t>
      </w:r>
      <w:r w:rsidR="0062055D">
        <w:t xml:space="preserve"> </w:t>
      </w:r>
      <w:r>
        <w:t>assistance</w:t>
      </w:r>
      <w:r w:rsidR="00821383">
        <w:t>, if needed</w:t>
      </w:r>
      <w:r>
        <w:t>.</w:t>
      </w:r>
    </w:p>
    <w:p w14:paraId="4260A29B" w14:textId="089DAEB0" w:rsidR="0054564A" w:rsidRDefault="0054564A" w:rsidP="0054564A">
      <w:pPr>
        <w:pStyle w:val="ListParagraph"/>
        <w:numPr>
          <w:ilvl w:val="1"/>
          <w:numId w:val="1"/>
        </w:numPr>
      </w:pPr>
      <w:r>
        <w:t xml:space="preserve">Write “REMOTE DEPOSIT CAPTURE” </w:t>
      </w:r>
      <w:r w:rsidR="00821383">
        <w:t xml:space="preserve">and </w:t>
      </w:r>
      <w:r w:rsidR="0062055D">
        <w:t xml:space="preserve">the </w:t>
      </w:r>
      <w:r>
        <w:t>“Bank Date” on the top of the deposit document</w:t>
      </w:r>
      <w:r w:rsidR="0062055D">
        <w:t>.</w:t>
      </w:r>
    </w:p>
    <w:p w14:paraId="104AE310" w14:textId="3ADD6A37" w:rsidR="0054564A" w:rsidRDefault="00F7264F" w:rsidP="0054564A">
      <w:pPr>
        <w:pStyle w:val="ListParagraph"/>
        <w:numPr>
          <w:ilvl w:val="1"/>
          <w:numId w:val="1"/>
        </w:numPr>
      </w:pPr>
      <w:r w:rsidRPr="00A0683D">
        <w:t>The preferred method is to</w:t>
      </w:r>
      <w:r>
        <w:rPr>
          <w:b/>
        </w:rPr>
        <w:t xml:space="preserve"> </w:t>
      </w:r>
      <w:r w:rsidR="00A0683D">
        <w:rPr>
          <w:b/>
        </w:rPr>
        <w:t>s</w:t>
      </w:r>
      <w:r w:rsidR="002611E9">
        <w:rPr>
          <w:b/>
        </w:rPr>
        <w:t>can and email</w:t>
      </w:r>
      <w:r w:rsidR="002805AA">
        <w:rPr>
          <w:b/>
        </w:rPr>
        <w:t xml:space="preserve"> </w:t>
      </w:r>
      <w:r>
        <w:rPr>
          <w:b/>
        </w:rPr>
        <w:t>the deposit document</w:t>
      </w:r>
      <w:r w:rsidR="002805AA">
        <w:rPr>
          <w:b/>
        </w:rPr>
        <w:t xml:space="preserve">, </w:t>
      </w:r>
      <w:r w:rsidR="002805AA">
        <w:t xml:space="preserve">but </w:t>
      </w:r>
      <w:r w:rsidR="00821383">
        <w:t>sending a</w:t>
      </w:r>
      <w:r w:rsidR="002805AA">
        <w:t xml:space="preserve"> Fax</w:t>
      </w:r>
      <w:r w:rsidR="00476902">
        <w:t xml:space="preserve"> to 402-471-0816</w:t>
      </w:r>
      <w:r w:rsidR="00821383">
        <w:t xml:space="preserve"> is acceptable. </w:t>
      </w:r>
      <w:r w:rsidR="00821383" w:rsidRPr="00B87C10">
        <w:rPr>
          <w:u w:val="single"/>
        </w:rPr>
        <w:t xml:space="preserve">Do </w:t>
      </w:r>
      <w:r w:rsidR="0054564A" w:rsidRPr="0054564A">
        <w:rPr>
          <w:u w:val="single"/>
        </w:rPr>
        <w:t>NOT mail or deliver the original copy</w:t>
      </w:r>
      <w:r w:rsidR="00821383">
        <w:t xml:space="preserve">; </w:t>
      </w:r>
      <w:r w:rsidR="0054564A">
        <w:t xml:space="preserve">this </w:t>
      </w:r>
      <w:r w:rsidR="00821383">
        <w:t xml:space="preserve">may </w:t>
      </w:r>
      <w:r w:rsidR="0054564A">
        <w:t>be kept for agency records</w:t>
      </w:r>
      <w:r w:rsidR="0062055D">
        <w:t>.</w:t>
      </w:r>
    </w:p>
    <w:p w14:paraId="23F58C9E" w14:textId="77777777" w:rsidR="0062055D" w:rsidRDefault="0062055D" w:rsidP="0062055D">
      <w:pPr>
        <w:pStyle w:val="ListParagraph"/>
        <w:ind w:left="1440"/>
      </w:pPr>
    </w:p>
    <w:p w14:paraId="1E205EE5" w14:textId="4E2663CD" w:rsidR="0054564A" w:rsidRPr="00B87C10" w:rsidRDefault="009E502A" w:rsidP="0054564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="00A0683D" w:rsidRPr="00B87C10">
        <w:rPr>
          <w:b/>
        </w:rPr>
        <w:t>ocument</w:t>
      </w:r>
      <w:r w:rsidR="0054564A" w:rsidRPr="00B87C10">
        <w:rPr>
          <w:b/>
        </w:rPr>
        <w:t>s</w:t>
      </w:r>
      <w:r w:rsidR="00326DEC">
        <w:rPr>
          <w:b/>
        </w:rPr>
        <w:t xml:space="preserve"> and </w:t>
      </w:r>
      <w:r w:rsidR="006F01F3" w:rsidRPr="00B87C10">
        <w:rPr>
          <w:b/>
        </w:rPr>
        <w:t>cash that are unable to be remotely deposited</w:t>
      </w:r>
      <w:r w:rsidR="00821383" w:rsidRPr="00B87C10">
        <w:rPr>
          <w:b/>
        </w:rPr>
        <w:t xml:space="preserve"> </w:t>
      </w:r>
      <w:r>
        <w:rPr>
          <w:b/>
        </w:rPr>
        <w:t xml:space="preserve">require special handling. They may </w:t>
      </w:r>
      <w:r w:rsidR="00821383" w:rsidRPr="00B87C10">
        <w:rPr>
          <w:b/>
        </w:rPr>
        <w:t>be processed in</w:t>
      </w:r>
      <w:r w:rsidR="006F01F3" w:rsidRPr="00B87C10">
        <w:rPr>
          <w:b/>
        </w:rPr>
        <w:t xml:space="preserve"> the following ways:</w:t>
      </w:r>
    </w:p>
    <w:p w14:paraId="5AE53455" w14:textId="5B94D42E" w:rsidR="006F01F3" w:rsidRDefault="0054564A" w:rsidP="006F01F3">
      <w:pPr>
        <w:pStyle w:val="ListParagraph"/>
        <w:numPr>
          <w:ilvl w:val="1"/>
          <w:numId w:val="1"/>
        </w:numPr>
      </w:pPr>
      <w:r>
        <w:t xml:space="preserve">Deposit directly to </w:t>
      </w:r>
      <w:r w:rsidR="00B72068">
        <w:t xml:space="preserve">a </w:t>
      </w:r>
      <w:r>
        <w:t xml:space="preserve">previously </w:t>
      </w:r>
      <w:r w:rsidR="00B72068">
        <w:t xml:space="preserve">designated </w:t>
      </w:r>
      <w:r>
        <w:t>financial institution using deposit slips ordered for this purpose</w:t>
      </w:r>
      <w:r w:rsidR="006F01F3">
        <w:t xml:space="preserve">. </w:t>
      </w:r>
      <w:r>
        <w:t xml:space="preserve">A separate deposit document </w:t>
      </w:r>
      <w:r w:rsidR="009E502A">
        <w:t xml:space="preserve">and a copy of the deposit slip </w:t>
      </w:r>
      <w:r>
        <w:t>should be created</w:t>
      </w:r>
      <w:r w:rsidR="002611E9">
        <w:t>, scanned</w:t>
      </w:r>
      <w:r w:rsidR="00821383">
        <w:t>,</w:t>
      </w:r>
      <w:r w:rsidR="002611E9">
        <w:t xml:space="preserve"> and ema</w:t>
      </w:r>
      <w:r w:rsidR="002805AA">
        <w:t>i</w:t>
      </w:r>
      <w:r w:rsidR="002611E9">
        <w:t>led</w:t>
      </w:r>
      <w:r>
        <w:t xml:space="preserve"> to the Treasurer’s Office</w:t>
      </w:r>
      <w:r w:rsidR="009E502A">
        <w:t>.</w:t>
      </w:r>
      <w:r>
        <w:t xml:space="preserve"> The original </w:t>
      </w:r>
      <w:r w:rsidR="00821383">
        <w:t xml:space="preserve">may </w:t>
      </w:r>
      <w:r>
        <w:t xml:space="preserve">be kept for agency records.  Since the deposit is being taken directly to a specific financial institution, the bank on the </w:t>
      </w:r>
      <w:r w:rsidR="002611E9">
        <w:t>E1</w:t>
      </w:r>
      <w:r>
        <w:t xml:space="preserve"> deposit document should reflect that bank.</w:t>
      </w:r>
      <w:r w:rsidR="006F01F3">
        <w:t xml:space="preserve"> Please mask the account number on the deposit slip before scanning and emailing or faxing the document.</w:t>
      </w:r>
    </w:p>
    <w:p w14:paraId="2615831D" w14:textId="76A0AA22" w:rsidR="0054564A" w:rsidRDefault="0054564A" w:rsidP="0054564A">
      <w:pPr>
        <w:pStyle w:val="ListParagraph"/>
        <w:numPr>
          <w:ilvl w:val="1"/>
          <w:numId w:val="1"/>
        </w:numPr>
      </w:pPr>
      <w:r>
        <w:t>Create a</w:t>
      </w:r>
      <w:r w:rsidR="00BD5BEB">
        <w:t>n E1</w:t>
      </w:r>
      <w:r>
        <w:t xml:space="preserve"> deposit document and </w:t>
      </w:r>
      <w:r w:rsidR="00821383">
        <w:t>deliver</w:t>
      </w:r>
      <w:r>
        <w:t xml:space="preserve"> checks and deposit document to the State Treasurer’s Office recei</w:t>
      </w:r>
      <w:r w:rsidR="005323E9">
        <w:t>pts window.  The bank on the E1</w:t>
      </w:r>
      <w:r>
        <w:t xml:space="preserve"> deposit document should be ENCODER CLEARING</w:t>
      </w:r>
      <w:r w:rsidR="00F71B88">
        <w:t xml:space="preserve"> 99992.110300.9999</w:t>
      </w:r>
      <w:r>
        <w:t>.</w:t>
      </w:r>
      <w:r w:rsidR="00B72068">
        <w:br/>
      </w:r>
    </w:p>
    <w:p w14:paraId="2253A809" w14:textId="0E5F1D41" w:rsidR="0062055D" w:rsidRDefault="0062055D" w:rsidP="0062055D">
      <w:pPr>
        <w:pStyle w:val="ListParagraph"/>
        <w:ind w:left="1440"/>
      </w:pPr>
    </w:p>
    <w:p w14:paraId="71F1FC1C" w14:textId="6B61B288" w:rsidR="001363A7" w:rsidRDefault="001363A7" w:rsidP="0062055D">
      <w:pPr>
        <w:pStyle w:val="ListParagraph"/>
        <w:ind w:left="1440"/>
      </w:pPr>
    </w:p>
    <w:p w14:paraId="1E0B0F0F" w14:textId="77777777" w:rsidR="001363A7" w:rsidRDefault="001363A7" w:rsidP="0062055D">
      <w:pPr>
        <w:pStyle w:val="ListParagraph"/>
        <w:ind w:left="1440"/>
      </w:pPr>
    </w:p>
    <w:p w14:paraId="7E621318" w14:textId="77777777" w:rsidR="0062055D" w:rsidRDefault="0062055D" w:rsidP="0062055D">
      <w:pPr>
        <w:pStyle w:val="ListParagraph"/>
        <w:ind w:left="1440"/>
      </w:pPr>
    </w:p>
    <w:p w14:paraId="138377E8" w14:textId="564D50F6" w:rsidR="00B72068" w:rsidRPr="00B72068" w:rsidRDefault="00B72068" w:rsidP="00B72068">
      <w:pPr>
        <w:rPr>
          <w:rFonts w:ascii="Arial" w:hAnsi="Arial" w:cs="Arial"/>
          <w:b/>
        </w:rPr>
      </w:pPr>
      <w:r w:rsidRPr="00B72068">
        <w:rPr>
          <w:rFonts w:ascii="Arial" w:hAnsi="Arial" w:cs="Arial"/>
          <w:b/>
        </w:rPr>
        <w:lastRenderedPageBreak/>
        <w:t>Reminders</w:t>
      </w:r>
    </w:p>
    <w:p w14:paraId="359BC03F" w14:textId="1DF86A73" w:rsidR="0054564A" w:rsidRDefault="009E502A" w:rsidP="0054564A">
      <w:pPr>
        <w:pStyle w:val="ListParagraph"/>
        <w:numPr>
          <w:ilvl w:val="0"/>
          <w:numId w:val="1"/>
        </w:numPr>
      </w:pPr>
      <w:r>
        <w:t>Union Bank</w:t>
      </w:r>
      <w:r w:rsidR="00B92B1B">
        <w:t xml:space="preserve"> requires that a</w:t>
      </w:r>
      <w:r w:rsidR="0054564A">
        <w:t xml:space="preserve">ll checks must be </w:t>
      </w:r>
      <w:r w:rsidR="00B72068">
        <w:t xml:space="preserve">securely </w:t>
      </w:r>
      <w:r w:rsidR="0054564A">
        <w:t xml:space="preserve">stored for </w:t>
      </w:r>
      <w:r w:rsidR="00476902">
        <w:t xml:space="preserve">at least </w:t>
      </w:r>
      <w:r w:rsidR="00B92B1B">
        <w:t>60</w:t>
      </w:r>
      <w:r w:rsidR="0054564A">
        <w:t xml:space="preserve"> </w:t>
      </w:r>
      <w:r w:rsidR="00B72068">
        <w:t xml:space="preserve">business </w:t>
      </w:r>
      <w:r w:rsidR="0054564A">
        <w:t>days</w:t>
      </w:r>
      <w:r w:rsidR="00476902">
        <w:t xml:space="preserve"> af</w:t>
      </w:r>
      <w:r w:rsidR="0054564A">
        <w:t>ter the deposit is posted</w:t>
      </w:r>
      <w:r w:rsidR="00B72068">
        <w:t xml:space="preserve"> at bank</w:t>
      </w:r>
      <w:r w:rsidR="00B92B1B">
        <w:t>.</w:t>
      </w:r>
      <w:r w:rsidR="00B4782C">
        <w:t xml:space="preserve"> Checks</w:t>
      </w:r>
      <w:r w:rsidR="0054564A">
        <w:t xml:space="preserve"> must be stored in a secure area </w:t>
      </w:r>
      <w:r w:rsidR="0054564A" w:rsidRPr="00B4782C">
        <w:rPr>
          <w:b/>
        </w:rPr>
        <w:t>either</w:t>
      </w:r>
      <w:r w:rsidR="0054564A">
        <w:t xml:space="preserve"> in a </w:t>
      </w:r>
      <w:r w:rsidR="00CC45A2">
        <w:t xml:space="preserve">locked vault, </w:t>
      </w:r>
      <w:r w:rsidR="0054564A">
        <w:t>safe</w:t>
      </w:r>
      <w:r w:rsidR="00CC45A2">
        <w:t xml:space="preserve">, </w:t>
      </w:r>
      <w:r w:rsidR="0054564A">
        <w:t>or locked file cabinet.</w:t>
      </w:r>
    </w:p>
    <w:p w14:paraId="332AF6DF" w14:textId="1EA7EAC7" w:rsidR="0054564A" w:rsidRDefault="0054564A" w:rsidP="00476902">
      <w:pPr>
        <w:pStyle w:val="ListParagraph"/>
        <w:numPr>
          <w:ilvl w:val="0"/>
          <w:numId w:val="1"/>
        </w:numPr>
      </w:pPr>
      <w:r>
        <w:t>A</w:t>
      </w:r>
      <w:r w:rsidR="00476902">
        <w:t xml:space="preserve"> Remote Deposit</w:t>
      </w:r>
      <w:r>
        <w:t xml:space="preserve"> </w:t>
      </w:r>
      <w:r w:rsidR="001363A7">
        <w:t>L</w:t>
      </w:r>
      <w:r>
        <w:t xml:space="preserve">og should be </w:t>
      </w:r>
      <w:r w:rsidR="00476902">
        <w:t xml:space="preserve">used to record all deposits. A copy of this form </w:t>
      </w:r>
      <w:r w:rsidR="00821383">
        <w:t>is available</w:t>
      </w:r>
      <w:r w:rsidR="00476902">
        <w:t xml:space="preserve"> on the State Treasurer’s website at </w:t>
      </w:r>
      <w:hyperlink r:id="rId9" w:history="1">
        <w:r w:rsidR="00476902" w:rsidRPr="000A672F">
          <w:rPr>
            <w:rStyle w:val="Hyperlink"/>
          </w:rPr>
          <w:t>https://treasurer.nebraska.gov/policies-and-procedures/</w:t>
        </w:r>
      </w:hyperlink>
      <w:r w:rsidR="00476902">
        <w:t xml:space="preserve"> </w:t>
      </w:r>
    </w:p>
    <w:p w14:paraId="124D9584" w14:textId="51F4B395" w:rsidR="0054564A" w:rsidRDefault="00821383" w:rsidP="0054564A">
      <w:pPr>
        <w:pStyle w:val="ListParagraph"/>
        <w:numPr>
          <w:ilvl w:val="0"/>
          <w:numId w:val="1"/>
        </w:numPr>
      </w:pPr>
      <w:r>
        <w:t>C</w:t>
      </w:r>
      <w:r w:rsidR="0054564A">
        <w:t>hecks should be destroyed in a secure manner:</w:t>
      </w:r>
    </w:p>
    <w:p w14:paraId="456DADE3" w14:textId="339A2A7B" w:rsidR="0054564A" w:rsidRDefault="0054564A" w:rsidP="0054564A">
      <w:pPr>
        <w:pStyle w:val="ListParagraph"/>
        <w:numPr>
          <w:ilvl w:val="1"/>
          <w:numId w:val="1"/>
        </w:numPr>
      </w:pPr>
      <w:r>
        <w:t xml:space="preserve">If checks are stored in a bin to be shredded by the state contracted vendor, the bin should be locked.  </w:t>
      </w:r>
    </w:p>
    <w:p w14:paraId="7F89F5C3" w14:textId="42A887B2" w:rsidR="00925394" w:rsidRDefault="0054564A" w:rsidP="001363A7">
      <w:pPr>
        <w:pStyle w:val="ListParagraph"/>
        <w:numPr>
          <w:ilvl w:val="1"/>
          <w:numId w:val="1"/>
        </w:numPr>
      </w:pPr>
      <w:r>
        <w:t xml:space="preserve">If checks are shredded on sight, </w:t>
      </w:r>
      <w:r w:rsidR="00821383">
        <w:t xml:space="preserve">shredding </w:t>
      </w:r>
      <w:r>
        <w:t xml:space="preserve">should be done immediately </w:t>
      </w:r>
      <w:r w:rsidRPr="00821383">
        <w:rPr>
          <w:u w:val="single"/>
        </w:rPr>
        <w:t xml:space="preserve">following </w:t>
      </w:r>
      <w:r w:rsidR="00B4782C">
        <w:t>the required retention period</w:t>
      </w:r>
      <w:r>
        <w:t xml:space="preserve"> using a secure shredding service or a </w:t>
      </w:r>
      <w:r w:rsidR="00326DEC">
        <w:t>crosscut</w:t>
      </w:r>
      <w:r>
        <w:t xml:space="preserve"> shredder.</w:t>
      </w:r>
    </w:p>
    <w:p w14:paraId="6AA638FE" w14:textId="1E21A8B3" w:rsidR="00B92B1B" w:rsidRDefault="00326DEC" w:rsidP="00B92B1B">
      <w:pPr>
        <w:pStyle w:val="ListParagraph"/>
        <w:numPr>
          <w:ilvl w:val="1"/>
          <w:numId w:val="1"/>
        </w:numPr>
      </w:pPr>
      <w:r>
        <w:t>Two staff members should destroy the checks</w:t>
      </w:r>
      <w:r w:rsidR="00821383">
        <w:t>,</w:t>
      </w:r>
      <w:r w:rsidR="00B92B1B">
        <w:t xml:space="preserve"> and both should initial on the Remote Deposit Log.</w:t>
      </w:r>
    </w:p>
    <w:p w14:paraId="05E54B8F" w14:textId="5745E691" w:rsidR="00925394" w:rsidRDefault="00925394" w:rsidP="00B92B1B">
      <w:pPr>
        <w:pStyle w:val="ListParagraph"/>
        <w:numPr>
          <w:ilvl w:val="0"/>
          <w:numId w:val="1"/>
        </w:numPr>
      </w:pPr>
      <w:r>
        <w:t xml:space="preserve">Agency staff </w:t>
      </w:r>
      <w:r w:rsidR="009E502A">
        <w:t xml:space="preserve">must </w:t>
      </w:r>
      <w:r w:rsidR="002805AA">
        <w:t>use</w:t>
      </w:r>
      <w:r>
        <w:t xml:space="preserve"> an individual user login to process deposits via remote deposit capture. Agency staff </w:t>
      </w:r>
      <w:r w:rsidR="00393725">
        <w:t xml:space="preserve">members </w:t>
      </w:r>
      <w:r>
        <w:t>are not to share system logins.</w:t>
      </w:r>
      <w:r w:rsidR="0062055D">
        <w:t xml:space="preserve"> Agency </w:t>
      </w:r>
      <w:r w:rsidR="00393725">
        <w:t xml:space="preserve">staff members </w:t>
      </w:r>
      <w:r w:rsidR="0062055D">
        <w:t>will notify the State Treasurer’s Office of any staffing changes of users.</w:t>
      </w:r>
    </w:p>
    <w:p w14:paraId="489053E9" w14:textId="2FAB255D" w:rsidR="00925394" w:rsidRDefault="00925394" w:rsidP="00925394">
      <w:pPr>
        <w:pStyle w:val="ListParagraph"/>
        <w:numPr>
          <w:ilvl w:val="0"/>
          <w:numId w:val="1"/>
        </w:numPr>
      </w:pPr>
      <w:r>
        <w:t>Agencies are liable for any misuse, theft, embezzlement</w:t>
      </w:r>
      <w:r w:rsidR="00393725">
        <w:t>,</w:t>
      </w:r>
      <w:r>
        <w:t xml:space="preserve"> or loss created by their staff </w:t>
      </w:r>
      <w:r w:rsidR="00393725">
        <w:t xml:space="preserve">members </w:t>
      </w:r>
      <w:r>
        <w:t>in the processing or managing of these check deposits.</w:t>
      </w:r>
    </w:p>
    <w:p w14:paraId="63EFFCDD" w14:textId="179BEFE3" w:rsidR="00925394" w:rsidRDefault="00393725" w:rsidP="00925394">
      <w:pPr>
        <w:pStyle w:val="ListParagraph"/>
        <w:numPr>
          <w:ilvl w:val="0"/>
          <w:numId w:val="1"/>
        </w:numPr>
      </w:pPr>
      <w:r>
        <w:t xml:space="preserve">Agencies </w:t>
      </w:r>
      <w:r w:rsidR="00925394">
        <w:t xml:space="preserve">may be audited by the Treasurer’s Office to ensure compliance with the </w:t>
      </w:r>
      <w:r>
        <w:t xml:space="preserve">outlined </w:t>
      </w:r>
      <w:r w:rsidR="00925394">
        <w:t>procedures.</w:t>
      </w:r>
    </w:p>
    <w:p w14:paraId="08C4A7B8" w14:textId="77777777" w:rsidR="0054564A" w:rsidRDefault="0054564A" w:rsidP="0054564A"/>
    <w:p w14:paraId="367E78BD" w14:textId="77777777" w:rsidR="00590C31" w:rsidRDefault="00590C31" w:rsidP="0054564A"/>
    <w:p w14:paraId="2CEABE82" w14:textId="6509C7A7" w:rsidR="00590C31" w:rsidRDefault="00590C31" w:rsidP="0054564A"/>
    <w:p w14:paraId="433D2D01" w14:textId="1CF46950" w:rsidR="001363A7" w:rsidRDefault="001363A7" w:rsidP="0054564A"/>
    <w:p w14:paraId="6778F5C1" w14:textId="2678E932" w:rsidR="001363A7" w:rsidRDefault="001363A7" w:rsidP="0054564A"/>
    <w:p w14:paraId="0796F537" w14:textId="4549EE7C" w:rsidR="001363A7" w:rsidRDefault="001363A7" w:rsidP="0054564A"/>
    <w:p w14:paraId="404EEB08" w14:textId="2E9B5F89" w:rsidR="001363A7" w:rsidRDefault="001363A7" w:rsidP="0054564A"/>
    <w:p w14:paraId="19ACC524" w14:textId="1413BCAA" w:rsidR="001363A7" w:rsidRDefault="001363A7" w:rsidP="0054564A"/>
    <w:p w14:paraId="54397D47" w14:textId="3C87FD7C" w:rsidR="001363A7" w:rsidRDefault="001363A7" w:rsidP="0054564A"/>
    <w:p w14:paraId="5A7D2772" w14:textId="77777777" w:rsidR="001363A7" w:rsidRDefault="001363A7" w:rsidP="0054564A"/>
    <w:p w14:paraId="449B3E85" w14:textId="77777777" w:rsidR="0062055D" w:rsidRDefault="0062055D" w:rsidP="0054564A"/>
    <w:p w14:paraId="12BA3E20" w14:textId="77777777" w:rsidR="0062055D" w:rsidRDefault="0062055D" w:rsidP="0054564A"/>
    <w:p w14:paraId="0DEE01E2" w14:textId="77777777" w:rsidR="0062055D" w:rsidRPr="00590C31" w:rsidRDefault="00590C31" w:rsidP="00590C31">
      <w:pPr>
        <w:shd w:val="clear" w:color="auto" w:fill="D9D9D9" w:themeFill="background1" w:themeFillShade="D9"/>
        <w:rPr>
          <w:b/>
          <w:sz w:val="24"/>
          <w:szCs w:val="24"/>
        </w:rPr>
      </w:pPr>
      <w:r w:rsidRPr="00590C31">
        <w:rPr>
          <w:b/>
          <w:sz w:val="24"/>
          <w:szCs w:val="24"/>
        </w:rPr>
        <w:t>Agency Acceptance of State Treasury Remote Deposit Capture Procedures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419"/>
      </w:tblGrid>
      <w:tr w:rsidR="00925394" w:rsidRPr="003361F5" w14:paraId="46F581CD" w14:textId="77777777" w:rsidTr="00590C31">
        <w:trPr>
          <w:trHeight w:val="567"/>
        </w:trPr>
        <w:tc>
          <w:tcPr>
            <w:tcW w:w="4941" w:type="dxa"/>
            <w:tcBorders>
              <w:bottom w:val="inset" w:sz="6" w:space="0" w:color="auto"/>
            </w:tcBorders>
            <w:shd w:val="clear" w:color="auto" w:fill="FFFFFF" w:themeFill="background1"/>
          </w:tcPr>
          <w:p w14:paraId="7ECAEDAD" w14:textId="77777777" w:rsidR="00925394" w:rsidRDefault="00925394" w:rsidP="00B856E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u w:val="single"/>
              </w:rPr>
            </w:pPr>
          </w:p>
          <w:p w14:paraId="4A0CF6FD" w14:textId="77777777" w:rsidR="00925394" w:rsidRPr="00F276FB" w:rsidRDefault="00925394" w:rsidP="00B856E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i/>
                <w:szCs w:val="20"/>
              </w:rPr>
              <w:t>X</w:t>
            </w:r>
          </w:p>
        </w:tc>
        <w:tc>
          <w:tcPr>
            <w:tcW w:w="4419" w:type="dxa"/>
            <w:tcBorders>
              <w:bottom w:val="inset" w:sz="6" w:space="0" w:color="auto"/>
            </w:tcBorders>
            <w:shd w:val="clear" w:color="auto" w:fill="FFFFFF" w:themeFill="background1"/>
          </w:tcPr>
          <w:p w14:paraId="6E6C2C89" w14:textId="77777777" w:rsidR="00925394" w:rsidRPr="00F276FB" w:rsidRDefault="00925394" w:rsidP="00B856E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925394" w:rsidRPr="003361F5" w14:paraId="7736155D" w14:textId="77777777" w:rsidTr="00590C31">
        <w:tc>
          <w:tcPr>
            <w:tcW w:w="4941" w:type="dxa"/>
            <w:tcBorders>
              <w:top w:val="inset" w:sz="6" w:space="0" w:color="auto"/>
            </w:tcBorders>
            <w:shd w:val="clear" w:color="auto" w:fill="FFFFFF" w:themeFill="background1"/>
          </w:tcPr>
          <w:p w14:paraId="53815D07" w14:textId="77777777" w:rsidR="00925394" w:rsidRPr="00333056" w:rsidRDefault="00925394" w:rsidP="00D655F5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  <w:r w:rsidRPr="00333056">
              <w:rPr>
                <w:rFonts w:cs="Arial"/>
                <w:i/>
                <w:szCs w:val="20"/>
              </w:rPr>
              <w:t xml:space="preserve">Agency </w:t>
            </w:r>
            <w:r>
              <w:rPr>
                <w:rFonts w:cs="Arial"/>
                <w:i/>
                <w:szCs w:val="20"/>
              </w:rPr>
              <w:t>signature</w:t>
            </w:r>
          </w:p>
        </w:tc>
        <w:tc>
          <w:tcPr>
            <w:tcW w:w="4419" w:type="dxa"/>
            <w:tcBorders>
              <w:top w:val="inset" w:sz="6" w:space="0" w:color="auto"/>
            </w:tcBorders>
            <w:shd w:val="clear" w:color="auto" w:fill="FFFFFF" w:themeFill="background1"/>
          </w:tcPr>
          <w:p w14:paraId="24DAC14B" w14:textId="77777777" w:rsidR="00925394" w:rsidRPr="00333056" w:rsidRDefault="00925394" w:rsidP="00B856EA">
            <w:pPr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  <w:r w:rsidRPr="00333056">
              <w:rPr>
                <w:rFonts w:cs="Arial"/>
                <w:i/>
                <w:szCs w:val="20"/>
              </w:rPr>
              <w:t>Date</w:t>
            </w:r>
            <w:r>
              <w:rPr>
                <w:rFonts w:cs="Arial"/>
                <w:i/>
                <w:szCs w:val="20"/>
              </w:rPr>
              <w:t xml:space="preserve"> </w:t>
            </w:r>
          </w:p>
        </w:tc>
      </w:tr>
      <w:tr w:rsidR="00925394" w:rsidRPr="003361F5" w14:paraId="30D6FCF9" w14:textId="77777777" w:rsidTr="00590C31">
        <w:trPr>
          <w:trHeight w:val="495"/>
        </w:trPr>
        <w:tc>
          <w:tcPr>
            <w:tcW w:w="4941" w:type="dxa"/>
            <w:tcBorders>
              <w:bottom w:val="inset" w:sz="6" w:space="0" w:color="auto"/>
            </w:tcBorders>
            <w:shd w:val="clear" w:color="auto" w:fill="FFFFFF" w:themeFill="background1"/>
          </w:tcPr>
          <w:p w14:paraId="70DE76AF" w14:textId="77777777" w:rsidR="00925394" w:rsidRPr="00333056" w:rsidRDefault="00925394" w:rsidP="00B856EA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</w:p>
        </w:tc>
        <w:tc>
          <w:tcPr>
            <w:tcW w:w="4419" w:type="dxa"/>
            <w:tcBorders>
              <w:bottom w:val="inset" w:sz="6" w:space="0" w:color="auto"/>
            </w:tcBorders>
            <w:shd w:val="clear" w:color="auto" w:fill="FFFFFF" w:themeFill="background1"/>
          </w:tcPr>
          <w:p w14:paraId="217C18FA" w14:textId="77777777" w:rsidR="00925394" w:rsidRPr="00333056" w:rsidRDefault="00925394" w:rsidP="00B856EA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</w:p>
        </w:tc>
      </w:tr>
      <w:tr w:rsidR="00925394" w:rsidRPr="003361F5" w14:paraId="55EE8F45" w14:textId="77777777" w:rsidTr="00590C31">
        <w:tc>
          <w:tcPr>
            <w:tcW w:w="4941" w:type="dxa"/>
            <w:tcBorders>
              <w:top w:val="inset" w:sz="6" w:space="0" w:color="auto"/>
            </w:tcBorders>
            <w:shd w:val="clear" w:color="auto" w:fill="FFFFFF" w:themeFill="background1"/>
          </w:tcPr>
          <w:p w14:paraId="42B3A13E" w14:textId="77777777" w:rsidR="00925394" w:rsidRPr="00333056" w:rsidRDefault="00D655F5" w:rsidP="00D655F5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Printed</w:t>
            </w:r>
            <w:r w:rsidR="00925394">
              <w:rPr>
                <w:rFonts w:cs="Arial"/>
                <w:i/>
                <w:szCs w:val="20"/>
              </w:rPr>
              <w:t xml:space="preserve"> name </w:t>
            </w:r>
          </w:p>
        </w:tc>
        <w:tc>
          <w:tcPr>
            <w:tcW w:w="4419" w:type="dxa"/>
            <w:tcBorders>
              <w:top w:val="inset" w:sz="6" w:space="0" w:color="auto"/>
            </w:tcBorders>
            <w:shd w:val="clear" w:color="auto" w:fill="FFFFFF" w:themeFill="background1"/>
          </w:tcPr>
          <w:p w14:paraId="003D97A0" w14:textId="544E907C" w:rsidR="00925394" w:rsidRPr="00333056" w:rsidRDefault="00925394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  <w:r w:rsidRPr="00333056">
              <w:rPr>
                <w:rFonts w:cs="Arial"/>
                <w:i/>
                <w:szCs w:val="20"/>
              </w:rPr>
              <w:t xml:space="preserve">Agency </w:t>
            </w:r>
            <w:r w:rsidR="00393725">
              <w:rPr>
                <w:rFonts w:cs="Arial"/>
                <w:i/>
                <w:szCs w:val="20"/>
              </w:rPr>
              <w:t>t</w:t>
            </w:r>
            <w:r w:rsidR="00393725" w:rsidRPr="00333056">
              <w:rPr>
                <w:rFonts w:cs="Arial"/>
                <w:i/>
                <w:szCs w:val="20"/>
              </w:rPr>
              <w:t>itle</w:t>
            </w:r>
          </w:p>
        </w:tc>
      </w:tr>
      <w:tr w:rsidR="00590C31" w:rsidRPr="003361F5" w14:paraId="14021546" w14:textId="77777777" w:rsidTr="00590C31">
        <w:trPr>
          <w:trHeight w:val="567"/>
        </w:trPr>
        <w:tc>
          <w:tcPr>
            <w:tcW w:w="4941" w:type="dxa"/>
            <w:tcBorders>
              <w:bottom w:val="single" w:sz="8" w:space="0" w:color="000000" w:themeColor="text1"/>
            </w:tcBorders>
          </w:tcPr>
          <w:p w14:paraId="3BFB221C" w14:textId="77777777" w:rsidR="00590C31" w:rsidRDefault="00590C31" w:rsidP="00590C31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u w:val="single"/>
              </w:rPr>
            </w:pPr>
          </w:p>
          <w:p w14:paraId="2C585E72" w14:textId="77777777" w:rsidR="00590C31" w:rsidRPr="00F276FB" w:rsidRDefault="00590C31" w:rsidP="00590C31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i/>
                <w:szCs w:val="20"/>
              </w:rPr>
              <w:t>X</w:t>
            </w:r>
          </w:p>
        </w:tc>
        <w:tc>
          <w:tcPr>
            <w:tcW w:w="4419" w:type="dxa"/>
            <w:tcBorders>
              <w:left w:val="nil"/>
              <w:bottom w:val="single" w:sz="8" w:space="0" w:color="000000" w:themeColor="text1"/>
            </w:tcBorders>
          </w:tcPr>
          <w:p w14:paraId="552BFFD3" w14:textId="77777777" w:rsidR="00590C31" w:rsidRPr="00333056" w:rsidRDefault="00590C31" w:rsidP="00590C31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</w:p>
        </w:tc>
      </w:tr>
      <w:tr w:rsidR="00925394" w:rsidRPr="003361F5" w14:paraId="5ECE343B" w14:textId="77777777" w:rsidTr="00590C31">
        <w:tc>
          <w:tcPr>
            <w:tcW w:w="4941" w:type="dxa"/>
            <w:tcBorders>
              <w:top w:val="single" w:sz="8" w:space="0" w:color="000000" w:themeColor="text1"/>
            </w:tcBorders>
          </w:tcPr>
          <w:p w14:paraId="2EF6ED2E" w14:textId="77777777" w:rsidR="00925394" w:rsidRPr="003361F5" w:rsidRDefault="00925394" w:rsidP="00925394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  <w:r w:rsidRPr="003361F5">
              <w:rPr>
                <w:rFonts w:cs="Arial"/>
                <w:i/>
                <w:szCs w:val="20"/>
              </w:rPr>
              <w:t xml:space="preserve">Signature of </w:t>
            </w:r>
            <w:r>
              <w:rPr>
                <w:rFonts w:cs="Arial"/>
                <w:i/>
                <w:szCs w:val="20"/>
              </w:rPr>
              <w:t>State Treasurer</w:t>
            </w:r>
          </w:p>
        </w:tc>
        <w:tc>
          <w:tcPr>
            <w:tcW w:w="4419" w:type="dxa"/>
            <w:tcBorders>
              <w:top w:val="single" w:sz="8" w:space="0" w:color="000000" w:themeColor="text1"/>
            </w:tcBorders>
          </w:tcPr>
          <w:p w14:paraId="51F5D3E1" w14:textId="77777777" w:rsidR="00925394" w:rsidRPr="003361F5" w:rsidRDefault="00925394" w:rsidP="00B856EA">
            <w:pPr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Cs w:val="20"/>
              </w:rPr>
              <w:t>Date</w:t>
            </w:r>
          </w:p>
        </w:tc>
      </w:tr>
      <w:tr w:rsidR="00925394" w:rsidRPr="003361F5" w14:paraId="1F19CABC" w14:textId="77777777" w:rsidTr="00590C31">
        <w:trPr>
          <w:trHeight w:val="423"/>
        </w:trPr>
        <w:tc>
          <w:tcPr>
            <w:tcW w:w="4941" w:type="dxa"/>
            <w:tcBorders>
              <w:bottom w:val="single" w:sz="8" w:space="0" w:color="000000" w:themeColor="text1"/>
            </w:tcBorders>
          </w:tcPr>
          <w:p w14:paraId="27B69EF1" w14:textId="77777777" w:rsidR="00925394" w:rsidRPr="003361F5" w:rsidRDefault="00925394" w:rsidP="00B856E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419" w:type="dxa"/>
            <w:tcBorders>
              <w:left w:val="nil"/>
              <w:bottom w:val="single" w:sz="8" w:space="0" w:color="000000" w:themeColor="text1"/>
            </w:tcBorders>
          </w:tcPr>
          <w:p w14:paraId="23FC3F6C" w14:textId="77777777" w:rsidR="00925394" w:rsidRPr="003361F5" w:rsidRDefault="00925394" w:rsidP="00B856E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925394" w:rsidRPr="003361F5" w14:paraId="6E1F45BD" w14:textId="77777777" w:rsidTr="00590C31">
        <w:tc>
          <w:tcPr>
            <w:tcW w:w="4941" w:type="dxa"/>
            <w:tcBorders>
              <w:top w:val="single" w:sz="8" w:space="0" w:color="000000" w:themeColor="text1"/>
            </w:tcBorders>
          </w:tcPr>
          <w:p w14:paraId="3B834020" w14:textId="77777777" w:rsidR="00925394" w:rsidRPr="003361F5" w:rsidRDefault="00925394" w:rsidP="00925394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Printed name of State Treasurer </w:t>
            </w:r>
          </w:p>
        </w:tc>
        <w:tc>
          <w:tcPr>
            <w:tcW w:w="4419" w:type="dxa"/>
            <w:tcBorders>
              <w:top w:val="single" w:sz="8" w:space="0" w:color="000000" w:themeColor="text1"/>
            </w:tcBorders>
          </w:tcPr>
          <w:p w14:paraId="353FDD73" w14:textId="77777777" w:rsidR="00925394" w:rsidRPr="003361F5" w:rsidRDefault="00925394" w:rsidP="00B856EA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</w:p>
        </w:tc>
      </w:tr>
    </w:tbl>
    <w:p w14:paraId="5DB7A4F7" w14:textId="77777777" w:rsidR="00FD66DB" w:rsidRDefault="00FD66DB" w:rsidP="0054564A"/>
    <w:p w14:paraId="694070BE" w14:textId="77777777" w:rsidR="00FD66DB" w:rsidRDefault="00FD66DB" w:rsidP="0054564A"/>
    <w:sectPr w:rsidR="00FD66DB" w:rsidSect="00CA0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0DBF2" w14:textId="77777777" w:rsidR="00476902" w:rsidRDefault="00476902" w:rsidP="00E22BB3">
      <w:r>
        <w:separator/>
      </w:r>
    </w:p>
  </w:endnote>
  <w:endnote w:type="continuationSeparator" w:id="0">
    <w:p w14:paraId="28AABA6B" w14:textId="77777777" w:rsidR="00476902" w:rsidRDefault="00476902" w:rsidP="00E2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AD79A" w14:textId="77777777" w:rsidR="00476902" w:rsidRDefault="00476902" w:rsidP="00E22BB3">
      <w:r>
        <w:separator/>
      </w:r>
    </w:p>
  </w:footnote>
  <w:footnote w:type="continuationSeparator" w:id="0">
    <w:p w14:paraId="1DFD6269" w14:textId="77777777" w:rsidR="00476902" w:rsidRDefault="00476902" w:rsidP="00E22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45A6D"/>
    <w:multiLevelType w:val="hybridMultilevel"/>
    <w:tmpl w:val="A2CAA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4A"/>
    <w:rsid w:val="00043254"/>
    <w:rsid w:val="00112F9D"/>
    <w:rsid w:val="001363A7"/>
    <w:rsid w:val="001A7A9F"/>
    <w:rsid w:val="001C3D37"/>
    <w:rsid w:val="002462D9"/>
    <w:rsid w:val="002611E9"/>
    <w:rsid w:val="002805AA"/>
    <w:rsid w:val="0031143A"/>
    <w:rsid w:val="00326DEC"/>
    <w:rsid w:val="00393725"/>
    <w:rsid w:val="003D38F2"/>
    <w:rsid w:val="00476902"/>
    <w:rsid w:val="004D6293"/>
    <w:rsid w:val="0052156E"/>
    <w:rsid w:val="005323E9"/>
    <w:rsid w:val="0054564A"/>
    <w:rsid w:val="00564BA0"/>
    <w:rsid w:val="00587D03"/>
    <w:rsid w:val="00590C31"/>
    <w:rsid w:val="005B37CA"/>
    <w:rsid w:val="005F480F"/>
    <w:rsid w:val="006166BE"/>
    <w:rsid w:val="0062055D"/>
    <w:rsid w:val="0064206A"/>
    <w:rsid w:val="006F01F3"/>
    <w:rsid w:val="006F5EA6"/>
    <w:rsid w:val="00801003"/>
    <w:rsid w:val="00821383"/>
    <w:rsid w:val="00890774"/>
    <w:rsid w:val="008C6563"/>
    <w:rsid w:val="009020A6"/>
    <w:rsid w:val="00913A1D"/>
    <w:rsid w:val="00925394"/>
    <w:rsid w:val="00942F0E"/>
    <w:rsid w:val="009473DE"/>
    <w:rsid w:val="009E502A"/>
    <w:rsid w:val="00A0683D"/>
    <w:rsid w:val="00A87EC4"/>
    <w:rsid w:val="00B4782C"/>
    <w:rsid w:val="00B72068"/>
    <w:rsid w:val="00B856EA"/>
    <w:rsid w:val="00B87C10"/>
    <w:rsid w:val="00B92B1B"/>
    <w:rsid w:val="00BA0415"/>
    <w:rsid w:val="00BD5BEB"/>
    <w:rsid w:val="00C458EE"/>
    <w:rsid w:val="00CA03CA"/>
    <w:rsid w:val="00CA13AC"/>
    <w:rsid w:val="00CC45A2"/>
    <w:rsid w:val="00D20BB4"/>
    <w:rsid w:val="00D60AD4"/>
    <w:rsid w:val="00D655F5"/>
    <w:rsid w:val="00E22BB3"/>
    <w:rsid w:val="00E40C49"/>
    <w:rsid w:val="00E83FC0"/>
    <w:rsid w:val="00E92190"/>
    <w:rsid w:val="00F71B88"/>
    <w:rsid w:val="00F7264F"/>
    <w:rsid w:val="00FA73E6"/>
    <w:rsid w:val="00FD66DB"/>
    <w:rsid w:val="00F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7D339A5"/>
  <w15:docId w15:val="{0AD94FC1-4C9E-4FA6-BF6D-95DF2194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64A"/>
    <w:rPr>
      <w:color w:val="0000FF"/>
      <w:u w:val="single"/>
    </w:rPr>
  </w:style>
  <w:style w:type="table" w:styleId="TableGrid">
    <w:name w:val="Table Grid"/>
    <w:basedOn w:val="TableNormal"/>
    <w:uiPriority w:val="59"/>
    <w:rsid w:val="00925394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2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B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22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BB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A2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5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8E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8E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T.TMStaff@nebrask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easurer.nebraska.gov/policies-and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3FD6-6CAA-4602-9857-0047D657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mraphael</dc:creator>
  <cp:keywords/>
  <dc:description/>
  <cp:lastModifiedBy>Char Scott</cp:lastModifiedBy>
  <cp:revision>2</cp:revision>
  <cp:lastPrinted>2017-05-24T16:17:00Z</cp:lastPrinted>
  <dcterms:created xsi:type="dcterms:W3CDTF">2017-05-25T18:57:00Z</dcterms:created>
  <dcterms:modified xsi:type="dcterms:W3CDTF">2017-05-25T18:57:00Z</dcterms:modified>
</cp:coreProperties>
</file>